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v:background id="_x0000_s1025" o:bwmode="white" o:targetscreensize="1024,768">
      <v:fill recolor="t" r:id="rId4" o:title="modelo_final.jpg" type="frame"/>
    </v:background>
  </w:background>
  <w:body>
    <w:p w14:paraId="2F539DE1" w14:textId="77777777" w:rsidR="00F13BE2" w:rsidRPr="00076C09" w:rsidRDefault="00F13BE2" w:rsidP="00933E05">
      <w:pPr>
        <w:spacing w:after="0" w:line="360" w:lineRule="auto"/>
        <w:jc w:val="center"/>
        <w:rPr>
          <w:rFonts w:ascii="Times New Roman" w:hAnsi="Times New Roman"/>
          <w:b/>
          <w:sz w:val="24"/>
          <w:szCs w:val="24"/>
        </w:rPr>
      </w:pPr>
      <w:bookmarkStart w:id="0" w:name="_GoBack"/>
      <w:bookmarkEnd w:id="0"/>
    </w:p>
    <w:p w14:paraId="35DC829A" w14:textId="77777777" w:rsidR="00076C09" w:rsidRPr="00076C09" w:rsidRDefault="00076C09" w:rsidP="00933E05">
      <w:pPr>
        <w:spacing w:after="0" w:line="360" w:lineRule="auto"/>
        <w:jc w:val="center"/>
        <w:rPr>
          <w:rFonts w:ascii="Times New Roman" w:hAnsi="Times New Roman"/>
          <w:b/>
          <w:sz w:val="24"/>
          <w:szCs w:val="24"/>
        </w:rPr>
      </w:pPr>
      <w:r w:rsidRPr="00076C09">
        <w:rPr>
          <w:rFonts w:ascii="Times New Roman" w:hAnsi="Times New Roman"/>
          <w:b/>
          <w:sz w:val="24"/>
          <w:szCs w:val="24"/>
        </w:rPr>
        <w:t>FRAGMENTOS DAS CONTRIBUIÇÕES DE FOUCAULT PARA A PESQUISA EM HISTÓRIA DA EDUCAÇÃO</w:t>
      </w:r>
    </w:p>
    <w:p w14:paraId="678B1AD2" w14:textId="77777777" w:rsidR="00076C09" w:rsidRPr="00076C09" w:rsidRDefault="00076C09" w:rsidP="00933E05">
      <w:pPr>
        <w:spacing w:after="0" w:line="360" w:lineRule="auto"/>
        <w:jc w:val="center"/>
        <w:rPr>
          <w:rFonts w:ascii="Times New Roman" w:eastAsia="Times New Roman" w:hAnsi="Times New Roman"/>
          <w:b/>
          <w:sz w:val="24"/>
          <w:szCs w:val="24"/>
          <w:lang w:val="en-US"/>
        </w:rPr>
      </w:pPr>
      <w:r w:rsidRPr="00076C09">
        <w:rPr>
          <w:rFonts w:ascii="Times New Roman" w:eastAsia="Times New Roman" w:hAnsi="Times New Roman"/>
          <w:b/>
          <w:sz w:val="24"/>
          <w:szCs w:val="24"/>
          <w:lang w:val="en-US"/>
        </w:rPr>
        <w:t>Fragments of Foucault’s Contributions to the Research in History of Education</w:t>
      </w:r>
    </w:p>
    <w:p w14:paraId="5E90D210" w14:textId="77777777" w:rsidR="00076C09" w:rsidRPr="00076C09" w:rsidRDefault="00076C09" w:rsidP="00933E05">
      <w:pPr>
        <w:spacing w:after="0"/>
        <w:jc w:val="right"/>
        <w:rPr>
          <w:rFonts w:ascii="Times New Roman" w:hAnsi="Times New Roman"/>
          <w:sz w:val="20"/>
          <w:szCs w:val="20"/>
        </w:rPr>
      </w:pPr>
      <w:proofErr w:type="spellStart"/>
      <w:r w:rsidRPr="00076C09">
        <w:rPr>
          <w:rFonts w:ascii="Times New Roman" w:hAnsi="Times New Roman"/>
          <w:sz w:val="20"/>
          <w:szCs w:val="20"/>
        </w:rPr>
        <w:t>Laerthe</w:t>
      </w:r>
      <w:proofErr w:type="spellEnd"/>
      <w:r w:rsidRPr="00076C09">
        <w:rPr>
          <w:rFonts w:ascii="Times New Roman" w:hAnsi="Times New Roman"/>
          <w:sz w:val="20"/>
          <w:szCs w:val="20"/>
        </w:rPr>
        <w:t xml:space="preserve"> de Moraes Abreu Junior</w:t>
      </w:r>
      <w:r w:rsidRPr="00076C09">
        <w:rPr>
          <w:rStyle w:val="FootnoteReference"/>
          <w:rFonts w:ascii="Times New Roman" w:hAnsi="Times New Roman"/>
          <w:sz w:val="20"/>
          <w:szCs w:val="20"/>
        </w:rPr>
        <w:footnoteReference w:id="1"/>
      </w:r>
    </w:p>
    <w:p w14:paraId="74D79F9A" w14:textId="77777777" w:rsidR="00F13BE2" w:rsidRDefault="00F13BE2" w:rsidP="00076C09">
      <w:pPr>
        <w:spacing w:after="0" w:line="360" w:lineRule="auto"/>
        <w:jc w:val="both"/>
        <w:rPr>
          <w:rFonts w:ascii="Times New Roman" w:hAnsi="Times New Roman"/>
          <w:sz w:val="24"/>
          <w:szCs w:val="24"/>
        </w:rPr>
      </w:pPr>
    </w:p>
    <w:p w14:paraId="0F12D773" w14:textId="77777777" w:rsidR="00F13BE2" w:rsidRDefault="00F13BE2" w:rsidP="00076C09">
      <w:pPr>
        <w:spacing w:after="0" w:line="360" w:lineRule="auto"/>
        <w:jc w:val="both"/>
        <w:rPr>
          <w:rFonts w:ascii="Times New Roman" w:hAnsi="Times New Roman"/>
          <w:sz w:val="24"/>
          <w:szCs w:val="24"/>
        </w:rPr>
      </w:pPr>
    </w:p>
    <w:p w14:paraId="60E01E08" w14:textId="77777777" w:rsidR="00F13BE2" w:rsidRPr="00076C09" w:rsidRDefault="00F13BE2" w:rsidP="00076C09">
      <w:pPr>
        <w:spacing w:after="0" w:line="360" w:lineRule="auto"/>
        <w:jc w:val="both"/>
        <w:rPr>
          <w:rFonts w:ascii="Times New Roman" w:hAnsi="Times New Roman"/>
          <w:sz w:val="24"/>
          <w:szCs w:val="24"/>
        </w:rPr>
      </w:pPr>
    </w:p>
    <w:p w14:paraId="10ED0F25" w14:textId="77777777" w:rsidR="00076C09" w:rsidRPr="00076C09" w:rsidRDefault="00076C09" w:rsidP="00076C09">
      <w:pPr>
        <w:spacing w:after="0" w:line="360" w:lineRule="auto"/>
        <w:jc w:val="both"/>
        <w:rPr>
          <w:rFonts w:ascii="Times New Roman" w:hAnsi="Times New Roman"/>
          <w:b/>
          <w:sz w:val="20"/>
          <w:szCs w:val="20"/>
        </w:rPr>
      </w:pPr>
      <w:r w:rsidRPr="00076C09">
        <w:rPr>
          <w:rFonts w:ascii="Times New Roman" w:hAnsi="Times New Roman"/>
          <w:b/>
          <w:sz w:val="20"/>
          <w:szCs w:val="20"/>
        </w:rPr>
        <w:t>RESUMO</w:t>
      </w:r>
    </w:p>
    <w:p w14:paraId="716ACA0B" w14:textId="77777777" w:rsidR="00076C09" w:rsidRPr="00076C09" w:rsidRDefault="00076C09" w:rsidP="00076C09">
      <w:pPr>
        <w:spacing w:after="0" w:line="360" w:lineRule="auto"/>
        <w:jc w:val="both"/>
        <w:rPr>
          <w:rFonts w:ascii="Times New Roman" w:eastAsia="Times New Roman" w:hAnsi="Times New Roman"/>
          <w:sz w:val="20"/>
          <w:szCs w:val="20"/>
        </w:rPr>
      </w:pPr>
      <w:r w:rsidRPr="00076C09">
        <w:rPr>
          <w:rFonts w:ascii="Times New Roman" w:eastAsia="Times New Roman" w:hAnsi="Times New Roman"/>
          <w:sz w:val="20"/>
          <w:szCs w:val="20"/>
        </w:rPr>
        <w:t xml:space="preserve">Este trabalho procura trazer fragmentos das contribuições de Michel Foucault para a história da educação, a partir das pesquisas realizadas no projeto “O pensamento educacional da primeira metade do século XX: uma análise </w:t>
      </w:r>
      <w:proofErr w:type="spellStart"/>
      <w:r w:rsidRPr="00076C09">
        <w:rPr>
          <w:rFonts w:ascii="Times New Roman" w:eastAsia="Times New Roman" w:hAnsi="Times New Roman"/>
          <w:sz w:val="20"/>
          <w:szCs w:val="20"/>
        </w:rPr>
        <w:t>biopolítica</w:t>
      </w:r>
      <w:proofErr w:type="spellEnd"/>
      <w:r w:rsidRPr="00076C09">
        <w:rPr>
          <w:rFonts w:ascii="Times New Roman" w:eastAsia="Times New Roman" w:hAnsi="Times New Roman"/>
          <w:sz w:val="20"/>
          <w:szCs w:val="20"/>
        </w:rPr>
        <w:t xml:space="preserve"> das práticas educativas brasileiras”.</w:t>
      </w:r>
    </w:p>
    <w:p w14:paraId="28D5EC67" w14:textId="77777777" w:rsidR="00076C09" w:rsidRPr="00076C09" w:rsidRDefault="00076C09" w:rsidP="00076C09">
      <w:pPr>
        <w:spacing w:after="0" w:line="360" w:lineRule="auto"/>
        <w:jc w:val="both"/>
        <w:rPr>
          <w:rFonts w:ascii="Times New Roman" w:eastAsia="Times New Roman" w:hAnsi="Times New Roman"/>
          <w:sz w:val="20"/>
          <w:szCs w:val="20"/>
        </w:rPr>
      </w:pPr>
      <w:r w:rsidRPr="00076C09">
        <w:rPr>
          <w:rFonts w:ascii="Times New Roman" w:eastAsia="Times New Roman" w:hAnsi="Times New Roman"/>
          <w:b/>
          <w:sz w:val="20"/>
          <w:szCs w:val="20"/>
        </w:rPr>
        <w:t>Palavras-chave</w:t>
      </w:r>
      <w:r w:rsidRPr="00076C09">
        <w:rPr>
          <w:rFonts w:ascii="Times New Roman" w:eastAsia="Times New Roman" w:hAnsi="Times New Roman"/>
          <w:sz w:val="20"/>
          <w:szCs w:val="20"/>
        </w:rPr>
        <w:t xml:space="preserve">: História da Educação, Michel Foucault, </w:t>
      </w:r>
      <w:proofErr w:type="spellStart"/>
      <w:r w:rsidRPr="00076C09">
        <w:rPr>
          <w:rFonts w:ascii="Times New Roman" w:eastAsia="Times New Roman" w:hAnsi="Times New Roman"/>
          <w:sz w:val="20"/>
          <w:szCs w:val="20"/>
        </w:rPr>
        <w:t>Biopolítica</w:t>
      </w:r>
      <w:proofErr w:type="spellEnd"/>
      <w:r w:rsidRPr="00076C09">
        <w:rPr>
          <w:rFonts w:ascii="Times New Roman" w:eastAsia="Times New Roman" w:hAnsi="Times New Roman"/>
          <w:sz w:val="20"/>
          <w:szCs w:val="20"/>
        </w:rPr>
        <w:t>, Práticas Educativas</w:t>
      </w:r>
    </w:p>
    <w:p w14:paraId="31DAEE2E" w14:textId="77777777" w:rsidR="00076C09" w:rsidRPr="00076C09" w:rsidRDefault="00076C09" w:rsidP="00076C09">
      <w:pPr>
        <w:spacing w:after="0" w:line="360" w:lineRule="auto"/>
        <w:ind w:firstLine="709"/>
        <w:jc w:val="both"/>
        <w:rPr>
          <w:rFonts w:ascii="Times New Roman" w:eastAsia="Times New Roman" w:hAnsi="Times New Roman"/>
        </w:rPr>
      </w:pPr>
    </w:p>
    <w:p w14:paraId="36F02E7B" w14:textId="77777777" w:rsidR="00076C09" w:rsidRPr="00076C09" w:rsidRDefault="00076C09" w:rsidP="00076C09">
      <w:pPr>
        <w:spacing w:after="0" w:line="360" w:lineRule="auto"/>
        <w:jc w:val="both"/>
        <w:rPr>
          <w:rFonts w:ascii="Times New Roman" w:eastAsia="Times New Roman" w:hAnsi="Times New Roman"/>
          <w:b/>
          <w:sz w:val="20"/>
          <w:szCs w:val="20"/>
          <w:lang w:val="en-US"/>
        </w:rPr>
      </w:pPr>
      <w:r w:rsidRPr="00076C09">
        <w:rPr>
          <w:rFonts w:ascii="Times New Roman" w:eastAsia="Times New Roman" w:hAnsi="Times New Roman"/>
          <w:b/>
          <w:sz w:val="20"/>
          <w:szCs w:val="20"/>
          <w:lang w:val="en-US"/>
        </w:rPr>
        <w:t>ABSTRACT</w:t>
      </w:r>
    </w:p>
    <w:p w14:paraId="3734015F" w14:textId="77777777" w:rsidR="00076C09" w:rsidRPr="00076C09" w:rsidRDefault="00076C09" w:rsidP="00076C09">
      <w:pPr>
        <w:spacing w:after="0" w:line="360" w:lineRule="auto"/>
        <w:jc w:val="both"/>
        <w:rPr>
          <w:rFonts w:ascii="Times New Roman" w:eastAsia="Times New Roman" w:hAnsi="Times New Roman"/>
          <w:sz w:val="20"/>
          <w:szCs w:val="20"/>
          <w:lang w:val="en-US"/>
        </w:rPr>
      </w:pPr>
      <w:r w:rsidRPr="00076C09">
        <w:rPr>
          <w:rFonts w:ascii="Times New Roman" w:eastAsia="Times New Roman" w:hAnsi="Times New Roman"/>
          <w:sz w:val="20"/>
          <w:szCs w:val="20"/>
          <w:lang w:val="en-US"/>
        </w:rPr>
        <w:t xml:space="preserve">This work seeks to provide some of Michel Foucault’s contributions to the History of Education based on the </w:t>
      </w:r>
      <w:proofErr w:type="spellStart"/>
      <w:r w:rsidRPr="00076C09">
        <w:rPr>
          <w:rFonts w:ascii="Times New Roman" w:eastAsia="Times New Roman" w:hAnsi="Times New Roman"/>
          <w:sz w:val="20"/>
          <w:szCs w:val="20"/>
          <w:lang w:val="en-US"/>
        </w:rPr>
        <w:t>researchs</w:t>
      </w:r>
      <w:proofErr w:type="spellEnd"/>
      <w:r w:rsidRPr="00076C09">
        <w:rPr>
          <w:rFonts w:ascii="Times New Roman" w:eastAsia="Times New Roman" w:hAnsi="Times New Roman"/>
          <w:sz w:val="20"/>
          <w:szCs w:val="20"/>
          <w:lang w:val="en-US"/>
        </w:rPr>
        <w:t xml:space="preserve"> carried out in the project “The educational thinking in the first half of the Twenty Century: a </w:t>
      </w:r>
      <w:proofErr w:type="spellStart"/>
      <w:r w:rsidRPr="00076C09">
        <w:rPr>
          <w:rFonts w:ascii="Times New Roman" w:eastAsia="Times New Roman" w:hAnsi="Times New Roman"/>
          <w:sz w:val="20"/>
          <w:szCs w:val="20"/>
          <w:lang w:val="en-US"/>
        </w:rPr>
        <w:t>biopolitics</w:t>
      </w:r>
      <w:proofErr w:type="spellEnd"/>
      <w:r w:rsidRPr="00076C09">
        <w:rPr>
          <w:rFonts w:ascii="Times New Roman" w:eastAsia="Times New Roman" w:hAnsi="Times New Roman"/>
          <w:sz w:val="20"/>
          <w:szCs w:val="20"/>
          <w:lang w:val="en-US"/>
        </w:rPr>
        <w:t xml:space="preserve"> analysis in the Brazilian educational practices”.</w:t>
      </w:r>
    </w:p>
    <w:p w14:paraId="6125676F" w14:textId="77777777" w:rsidR="00076C09" w:rsidRPr="00076C09" w:rsidRDefault="00076C09" w:rsidP="00076C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360" w:lineRule="auto"/>
        <w:jc w:val="both"/>
        <w:rPr>
          <w:rFonts w:ascii="Times New Roman" w:eastAsia="Times New Roman" w:hAnsi="Times New Roman"/>
          <w:color w:val="212121"/>
          <w:sz w:val="20"/>
          <w:szCs w:val="20"/>
          <w:lang w:val="en-US"/>
        </w:rPr>
      </w:pPr>
      <w:r w:rsidRPr="00076C09">
        <w:rPr>
          <w:rFonts w:ascii="Times New Roman" w:eastAsia="Times New Roman" w:hAnsi="Times New Roman"/>
          <w:b/>
          <w:color w:val="212121"/>
          <w:sz w:val="20"/>
          <w:szCs w:val="20"/>
          <w:lang w:val="en-US"/>
        </w:rPr>
        <w:t>Keywords</w:t>
      </w:r>
      <w:r w:rsidRPr="00076C09">
        <w:rPr>
          <w:rFonts w:ascii="Times New Roman" w:eastAsia="Times New Roman" w:hAnsi="Times New Roman"/>
          <w:color w:val="212121"/>
          <w:sz w:val="20"/>
          <w:szCs w:val="20"/>
          <w:lang w:val="en-US"/>
        </w:rPr>
        <w:t xml:space="preserve">: History of Education, Michel Foucault, </w:t>
      </w:r>
      <w:proofErr w:type="spellStart"/>
      <w:r w:rsidRPr="00076C09">
        <w:rPr>
          <w:rFonts w:ascii="Times New Roman" w:eastAsia="Times New Roman" w:hAnsi="Times New Roman"/>
          <w:color w:val="212121"/>
          <w:sz w:val="20"/>
          <w:szCs w:val="20"/>
          <w:lang w:val="en-US"/>
        </w:rPr>
        <w:t>Biopolitcs</w:t>
      </w:r>
      <w:proofErr w:type="spellEnd"/>
      <w:r w:rsidRPr="00076C09">
        <w:rPr>
          <w:rFonts w:ascii="Times New Roman" w:eastAsia="Times New Roman" w:hAnsi="Times New Roman"/>
          <w:color w:val="212121"/>
          <w:sz w:val="20"/>
          <w:szCs w:val="20"/>
          <w:lang w:val="en-US"/>
        </w:rPr>
        <w:t>, Educational Practices</w:t>
      </w:r>
    </w:p>
    <w:p w14:paraId="72FE09ED" w14:textId="77777777" w:rsidR="00E422E5" w:rsidRPr="000F4637" w:rsidRDefault="00E422E5" w:rsidP="00076C09">
      <w:pPr>
        <w:spacing w:after="0" w:line="360" w:lineRule="auto"/>
        <w:ind w:firstLine="709"/>
        <w:jc w:val="both"/>
        <w:rPr>
          <w:rFonts w:ascii="Times New Roman" w:eastAsia="Times New Roman" w:hAnsi="Times New Roman"/>
          <w:sz w:val="24"/>
          <w:szCs w:val="24"/>
          <w:lang w:val="en-US"/>
        </w:rPr>
      </w:pPr>
    </w:p>
    <w:p w14:paraId="16CFCBED" w14:textId="77777777" w:rsidR="00FE5CA2" w:rsidRPr="00FE5CA2" w:rsidRDefault="00FE5CA2" w:rsidP="00076C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360" w:lineRule="auto"/>
        <w:jc w:val="both"/>
        <w:rPr>
          <w:rFonts w:ascii="Times New Roman" w:eastAsia="Times New Roman" w:hAnsi="Times New Roman"/>
          <w:color w:val="212121"/>
          <w:sz w:val="20"/>
          <w:szCs w:val="20"/>
          <w:lang w:val="en-US"/>
        </w:rPr>
      </w:pPr>
      <w:r w:rsidRPr="00FE5CA2">
        <w:rPr>
          <w:rFonts w:ascii="Times New Roman" w:eastAsia="Times New Roman" w:hAnsi="Times New Roman"/>
          <w:color w:val="212121"/>
          <w:sz w:val="20"/>
          <w:szCs w:val="20"/>
          <w:lang w:val="en-US"/>
        </w:rPr>
        <w:t>.</w:t>
      </w:r>
    </w:p>
    <w:p w14:paraId="3CCEFC45" w14:textId="77777777" w:rsidR="00F13BE2" w:rsidRDefault="00F13BE2" w:rsidP="00076C09">
      <w:pPr>
        <w:spacing w:after="0" w:line="360" w:lineRule="auto"/>
        <w:jc w:val="both"/>
        <w:rPr>
          <w:rFonts w:ascii="Times New Roman" w:hAnsi="Times New Roman"/>
          <w:sz w:val="24"/>
          <w:szCs w:val="24"/>
        </w:rPr>
      </w:pPr>
    </w:p>
    <w:p w14:paraId="6BB0AD3E" w14:textId="77777777" w:rsidR="00076C09" w:rsidRPr="00076C09" w:rsidRDefault="00076C09" w:rsidP="00076C09">
      <w:pPr>
        <w:spacing w:after="0" w:line="360" w:lineRule="auto"/>
        <w:jc w:val="both"/>
        <w:rPr>
          <w:rFonts w:ascii="Times New Roman" w:hAnsi="Times New Roman"/>
          <w:b/>
          <w:sz w:val="24"/>
          <w:szCs w:val="24"/>
        </w:rPr>
      </w:pPr>
      <w:r w:rsidRPr="00076C09">
        <w:rPr>
          <w:rFonts w:ascii="Times New Roman" w:hAnsi="Times New Roman"/>
          <w:b/>
          <w:sz w:val="24"/>
          <w:szCs w:val="24"/>
        </w:rPr>
        <w:t>INTRODUÇÃO</w:t>
      </w:r>
    </w:p>
    <w:p w14:paraId="73F31CFB" w14:textId="77777777" w:rsidR="00076C09" w:rsidRPr="00076C09" w:rsidRDefault="00076C09" w:rsidP="00076C09">
      <w:pPr>
        <w:spacing w:after="0" w:line="360" w:lineRule="auto"/>
        <w:ind w:firstLine="709"/>
        <w:jc w:val="both"/>
        <w:rPr>
          <w:rFonts w:ascii="Times New Roman" w:hAnsi="Times New Roman"/>
          <w:sz w:val="24"/>
          <w:szCs w:val="24"/>
        </w:rPr>
      </w:pPr>
    </w:p>
    <w:p w14:paraId="50ABB3F5" w14:textId="77777777" w:rsidR="00076C09" w:rsidRPr="00076C09" w:rsidRDefault="00076C09" w:rsidP="00076C09">
      <w:pPr>
        <w:spacing w:after="0" w:line="360" w:lineRule="auto"/>
        <w:ind w:firstLine="709"/>
        <w:jc w:val="both"/>
        <w:rPr>
          <w:rFonts w:ascii="Times New Roman" w:hAnsi="Times New Roman"/>
          <w:sz w:val="24"/>
          <w:szCs w:val="24"/>
        </w:rPr>
      </w:pPr>
      <w:r w:rsidRPr="00076C09">
        <w:rPr>
          <w:rFonts w:ascii="Times New Roman" w:hAnsi="Times New Roman"/>
          <w:sz w:val="24"/>
          <w:szCs w:val="24"/>
        </w:rPr>
        <w:t xml:space="preserve">Este texto procura promover a discussão em torno das contribuições de conceitos de Michel Foucault para balizar pesquisas realizadas dentro de um projeto inserido no Programa de Pós-Graduação em Educação da Universidade Federal de São João </w:t>
      </w:r>
      <w:proofErr w:type="spellStart"/>
      <w:r w:rsidRPr="00076C09">
        <w:rPr>
          <w:rFonts w:ascii="Times New Roman" w:hAnsi="Times New Roman"/>
          <w:sz w:val="24"/>
          <w:szCs w:val="24"/>
        </w:rPr>
        <w:t>del</w:t>
      </w:r>
      <w:proofErr w:type="spellEnd"/>
      <w:r w:rsidRPr="00076C09">
        <w:rPr>
          <w:rFonts w:ascii="Times New Roman" w:hAnsi="Times New Roman"/>
          <w:sz w:val="24"/>
          <w:szCs w:val="24"/>
        </w:rPr>
        <w:t xml:space="preserve">-Rei. O projeto intitulado </w:t>
      </w:r>
      <w:r w:rsidRPr="00076C09">
        <w:rPr>
          <w:rFonts w:ascii="Times New Roman" w:eastAsia="Times New Roman" w:hAnsi="Times New Roman"/>
          <w:sz w:val="24"/>
          <w:szCs w:val="24"/>
          <w:lang w:eastAsia="pt-BR"/>
        </w:rPr>
        <w:t xml:space="preserve">“O pensamento educacional da primeira metade do século XX: uma análise </w:t>
      </w:r>
      <w:proofErr w:type="spellStart"/>
      <w:r w:rsidRPr="00076C09">
        <w:rPr>
          <w:rFonts w:ascii="Times New Roman" w:eastAsia="Times New Roman" w:hAnsi="Times New Roman"/>
          <w:sz w:val="24"/>
          <w:szCs w:val="24"/>
          <w:lang w:eastAsia="pt-BR"/>
        </w:rPr>
        <w:t>biopolítica</w:t>
      </w:r>
      <w:proofErr w:type="spellEnd"/>
      <w:r w:rsidRPr="00076C09">
        <w:rPr>
          <w:rFonts w:ascii="Times New Roman" w:eastAsia="Times New Roman" w:hAnsi="Times New Roman"/>
          <w:sz w:val="24"/>
          <w:szCs w:val="24"/>
          <w:lang w:eastAsia="pt-BR"/>
        </w:rPr>
        <w:t xml:space="preserve"> das práticas educativas brasileiras” desenvolve trabalhos situados no âmbito da escolarização e dos processos educativos fora da escola, tais como os desenvolvidos pela imprensa na época.</w:t>
      </w:r>
    </w:p>
    <w:p w14:paraId="662391B2" w14:textId="77777777" w:rsidR="00076C09" w:rsidRPr="00076C09" w:rsidRDefault="00076C09" w:rsidP="00076C09">
      <w:pPr>
        <w:spacing w:after="0" w:line="360" w:lineRule="auto"/>
        <w:ind w:firstLine="709"/>
        <w:jc w:val="both"/>
        <w:rPr>
          <w:rFonts w:ascii="Times New Roman" w:hAnsi="Times New Roman"/>
          <w:sz w:val="24"/>
          <w:szCs w:val="24"/>
        </w:rPr>
      </w:pPr>
      <w:r w:rsidRPr="00076C09">
        <w:rPr>
          <w:rFonts w:ascii="Times New Roman" w:hAnsi="Times New Roman"/>
          <w:sz w:val="24"/>
          <w:szCs w:val="24"/>
        </w:rPr>
        <w:t xml:space="preserve">Tratar das práticas educativas brasileiras no contexto se apresenta como um plano muito vasto, que não só se delimita e com isso até se enriquece, quando são </w:t>
      </w:r>
      <w:r w:rsidRPr="00076C09">
        <w:rPr>
          <w:rFonts w:ascii="Times New Roman" w:hAnsi="Times New Roman"/>
          <w:sz w:val="24"/>
          <w:szCs w:val="24"/>
        </w:rPr>
        <w:lastRenderedPageBreak/>
        <w:t>abordadas questões envolvidas num determinado e específico processo, como é o caso de investigações nas três primeiras décadas do século XX em Minas Gerais.</w:t>
      </w:r>
    </w:p>
    <w:p w14:paraId="7D9955BE" w14:textId="77777777" w:rsidR="00076C09" w:rsidRPr="00076C09" w:rsidRDefault="00076C09" w:rsidP="00076C09">
      <w:pPr>
        <w:spacing w:after="0" w:line="360" w:lineRule="auto"/>
        <w:ind w:firstLine="709"/>
        <w:jc w:val="both"/>
        <w:rPr>
          <w:rFonts w:ascii="Times New Roman" w:hAnsi="Times New Roman"/>
          <w:sz w:val="24"/>
          <w:szCs w:val="24"/>
        </w:rPr>
      </w:pPr>
      <w:r w:rsidRPr="00076C09">
        <w:rPr>
          <w:rFonts w:ascii="Times New Roman" w:hAnsi="Times New Roman"/>
          <w:sz w:val="24"/>
          <w:szCs w:val="24"/>
        </w:rPr>
        <w:t>Aquele período merece um olhar atento, minimamente pelo número de iniciativas estatais em prol da educação, quando as autoridades republicanas – não de forma homogênea, integrada ou sistematizada, diga-se de passagem – promoveram variadas ações em diferentes estados, descentralizadas, esparsas e até desequilibradas do ponto de vista social e econômico, que dependiam muito do modo como cada estado enfrentava suas obrigações federativas.</w:t>
      </w:r>
    </w:p>
    <w:p w14:paraId="7E7B526E" w14:textId="77777777" w:rsidR="00076C09" w:rsidRPr="00076C09" w:rsidRDefault="00076C09" w:rsidP="00076C09">
      <w:pPr>
        <w:spacing w:after="0" w:line="360" w:lineRule="auto"/>
        <w:ind w:firstLine="709"/>
        <w:jc w:val="both"/>
        <w:rPr>
          <w:rFonts w:ascii="Times New Roman" w:hAnsi="Times New Roman"/>
          <w:sz w:val="24"/>
          <w:szCs w:val="24"/>
        </w:rPr>
      </w:pPr>
      <w:r w:rsidRPr="00076C09">
        <w:rPr>
          <w:rFonts w:ascii="Times New Roman" w:hAnsi="Times New Roman"/>
          <w:sz w:val="24"/>
          <w:szCs w:val="24"/>
        </w:rPr>
        <w:t>A simples menção da inexistência de uma secretaria estadual para tratar da educação oferece um parâmetro para avaliar os problemas envolvidos nessa área, quando tal secretaria esteve vinculada aos negócios de estado e do interior. Assim, a escolarização era entendida como mais um problema econômico do que propriamente da cultura, da sociedade e, logicamente, da educação das unidades federativas.</w:t>
      </w:r>
    </w:p>
    <w:p w14:paraId="5C164244" w14:textId="77777777" w:rsidR="00076C09" w:rsidRPr="00076C09" w:rsidRDefault="00076C09" w:rsidP="00076C09">
      <w:pPr>
        <w:spacing w:after="0" w:line="360" w:lineRule="auto"/>
        <w:ind w:firstLine="709"/>
        <w:jc w:val="both"/>
        <w:rPr>
          <w:rFonts w:ascii="Times New Roman" w:hAnsi="Times New Roman"/>
          <w:sz w:val="24"/>
          <w:szCs w:val="24"/>
        </w:rPr>
      </w:pPr>
      <w:r w:rsidRPr="00076C09">
        <w:rPr>
          <w:rFonts w:ascii="Times New Roman" w:hAnsi="Times New Roman"/>
          <w:sz w:val="24"/>
          <w:szCs w:val="24"/>
        </w:rPr>
        <w:t>Ainda mais: a farta menção na historiografia da educação brasileira às chamadas “reformas” da década de 1920 merece, também, ser problematizada. Pode-se argumentar que nem mesmo havia uma “forma” consolidada para a educação, que caminhava muito, mas muito lentamente, para atender a velhas intenções de um ensino amplo e gratuito de modo a atingir verdadeiramente a população brasileira. Mas isso é trabalho para outras pesquisas.</w:t>
      </w:r>
    </w:p>
    <w:p w14:paraId="5CF911BA" w14:textId="77777777" w:rsidR="00076C09" w:rsidRPr="00076C09" w:rsidRDefault="00076C09" w:rsidP="00076C09">
      <w:pPr>
        <w:spacing w:after="0" w:line="360" w:lineRule="auto"/>
        <w:ind w:firstLine="709"/>
        <w:jc w:val="both"/>
        <w:rPr>
          <w:rFonts w:ascii="Times New Roman" w:hAnsi="Times New Roman"/>
          <w:sz w:val="24"/>
          <w:szCs w:val="24"/>
        </w:rPr>
      </w:pPr>
      <w:r w:rsidRPr="00076C09">
        <w:rPr>
          <w:rFonts w:ascii="Times New Roman" w:hAnsi="Times New Roman"/>
          <w:sz w:val="24"/>
          <w:szCs w:val="24"/>
        </w:rPr>
        <w:t>A organização política enfrentava desafios seculares ao assumir uma postura republicana de ensino público e gratuito para todos, num país em que a cidadania estava muito longe de atingir parcelas significativas da população. Após séculos de descaso dos colonizadores com a formação de um verdadeiro “estado” brasileiro – formação essa para a qual se voltavam as nações ditas civilizadas do hemisfério norte, em seu longo processo de formação de estados liberais – e ainda com a desregulamentação do mundo do trabalho após perversos séculos de exploração dos escravos, eram muitos e pesados os obstáculos para o Brasil se colocar no mesmo plano das nações inspiradoras de nossos sonhos de civilização e progresso.</w:t>
      </w:r>
    </w:p>
    <w:p w14:paraId="5A2A0368" w14:textId="77777777" w:rsidR="00076C09" w:rsidRPr="00076C09" w:rsidRDefault="00076C09" w:rsidP="00076C09">
      <w:pPr>
        <w:spacing w:after="0" w:line="360" w:lineRule="auto"/>
        <w:ind w:firstLine="709"/>
        <w:jc w:val="both"/>
        <w:rPr>
          <w:rFonts w:ascii="Times New Roman" w:hAnsi="Times New Roman"/>
          <w:sz w:val="24"/>
          <w:szCs w:val="24"/>
        </w:rPr>
      </w:pPr>
      <w:r w:rsidRPr="00076C09">
        <w:rPr>
          <w:rFonts w:ascii="Times New Roman" w:hAnsi="Times New Roman"/>
          <w:sz w:val="24"/>
          <w:szCs w:val="24"/>
        </w:rPr>
        <w:t xml:space="preserve">Com a República, parece ter se formado um estado capenga, sem cidadania, haja vista que uma nação não se consolida – ao menos nos moldes dos estados liberais, nossa inspiração e aspiração – apenas com uma elite não só muito diminuta, como afastada das outras categorias sociais que por aqui circulavam. Associações de grupos organizados de profissionais das cidades e do campo eram muito tênues, tal a pouca participação dos comerciantes, funcionários e burocratas das autarquias e demais </w:t>
      </w:r>
      <w:r w:rsidRPr="00076C09">
        <w:rPr>
          <w:rFonts w:ascii="Times New Roman" w:hAnsi="Times New Roman"/>
          <w:sz w:val="24"/>
          <w:szCs w:val="24"/>
        </w:rPr>
        <w:lastRenderedPageBreak/>
        <w:t>trabalhadores livres na vida política e social. Isso sem falar no que fazer com a enorme parcela da população abandonada e espalhada por todos os núcleos urbanos e rurais – muitos decorrentes da ausência de uma política para o fim da escravidão. Faltava à população de tudo um pouco: saúde, educação, sustento, moradia e serviços básicos estatais como saneamento, estradas e meios de transporte, para falar nas condições muito gerais do viver com dignidade.</w:t>
      </w:r>
    </w:p>
    <w:p w14:paraId="18D189C5" w14:textId="77777777" w:rsidR="00076C09" w:rsidRPr="00076C09" w:rsidRDefault="00076C09" w:rsidP="00076C09">
      <w:pPr>
        <w:spacing w:after="0" w:line="360" w:lineRule="auto"/>
        <w:ind w:firstLine="709"/>
        <w:jc w:val="both"/>
        <w:rPr>
          <w:rFonts w:ascii="Times New Roman" w:hAnsi="Times New Roman"/>
          <w:sz w:val="24"/>
          <w:szCs w:val="24"/>
        </w:rPr>
      </w:pPr>
      <w:r w:rsidRPr="00076C09">
        <w:rPr>
          <w:rFonts w:ascii="Times New Roman" w:hAnsi="Times New Roman"/>
          <w:sz w:val="24"/>
          <w:szCs w:val="24"/>
        </w:rPr>
        <w:t>A diferença de nível socioeconômico era tão grande que se fazia urgente o esforço de conclamar a população à República, ainda nas décadas posteriores a sua proclamação. No que diz respeito, por exemplo, à responsabilidade da educação por essa ausente cidadania, faltavam leitores para configurar um quadro de eleitores que desse uma feição minimamente condizente com os propósitos de um estado republicano sério e não uma caricatura grotesca da exígua participação da população a conduzir politicamente seus desígnios, marca, ou chaga de nossa incivilidade.</w:t>
      </w:r>
    </w:p>
    <w:p w14:paraId="399F0E01" w14:textId="77777777" w:rsidR="00076C09" w:rsidRPr="00076C09" w:rsidRDefault="00076C09" w:rsidP="00076C09">
      <w:pPr>
        <w:spacing w:after="0" w:line="360" w:lineRule="auto"/>
        <w:ind w:firstLine="709"/>
        <w:jc w:val="both"/>
        <w:rPr>
          <w:rFonts w:ascii="Times New Roman" w:hAnsi="Times New Roman"/>
          <w:sz w:val="24"/>
          <w:szCs w:val="24"/>
        </w:rPr>
      </w:pPr>
      <w:r w:rsidRPr="00076C09">
        <w:rPr>
          <w:rFonts w:ascii="Times New Roman" w:hAnsi="Times New Roman"/>
          <w:sz w:val="24"/>
          <w:szCs w:val="24"/>
        </w:rPr>
        <w:t>Assim, fazia-se urgente, repita-se e mesmo que distante no tempo em que foram se constituindo nas chamadas civilizações ocidentais dos estados do hemisfério norte, a criação de um estado liberal, ou do liberalismo, tal como define Foucault:</w:t>
      </w:r>
    </w:p>
    <w:p w14:paraId="25E90220" w14:textId="77777777" w:rsidR="00076C09" w:rsidRPr="00076C09" w:rsidRDefault="00076C09" w:rsidP="00076C09">
      <w:pPr>
        <w:spacing w:after="0"/>
        <w:ind w:firstLine="709"/>
        <w:jc w:val="both"/>
        <w:rPr>
          <w:rFonts w:ascii="Times New Roman" w:hAnsi="Times New Roman"/>
          <w:sz w:val="24"/>
          <w:szCs w:val="24"/>
        </w:rPr>
      </w:pPr>
    </w:p>
    <w:p w14:paraId="77033D38" w14:textId="77777777" w:rsidR="00076C09" w:rsidRPr="00076C09" w:rsidRDefault="00076C09" w:rsidP="00076C09">
      <w:pPr>
        <w:spacing w:after="0" w:line="240" w:lineRule="auto"/>
        <w:ind w:left="2268"/>
        <w:jc w:val="both"/>
        <w:rPr>
          <w:rFonts w:ascii="Times New Roman" w:hAnsi="Times New Roman"/>
          <w:sz w:val="20"/>
          <w:szCs w:val="20"/>
        </w:rPr>
      </w:pPr>
      <w:r w:rsidRPr="00076C09">
        <w:rPr>
          <w:rFonts w:ascii="Times New Roman" w:hAnsi="Times New Roman"/>
          <w:sz w:val="20"/>
          <w:szCs w:val="20"/>
        </w:rPr>
        <w:t>[...] Procurei analisar o “liberalismo” [...] como uma prática, isto é como uma maneira de fazer orientada por objetivos e regulando-se por uma reflexão continua. O liberalismo deve ser analisado como princípio e método de racionalização do exercício do governo. (FOUCAULT, 2008b, p. 432)</w:t>
      </w:r>
    </w:p>
    <w:p w14:paraId="52508501" w14:textId="77777777" w:rsidR="00076C09" w:rsidRPr="00076C09" w:rsidRDefault="00076C09" w:rsidP="00076C09">
      <w:pPr>
        <w:spacing w:after="0"/>
        <w:ind w:firstLine="709"/>
        <w:jc w:val="both"/>
        <w:rPr>
          <w:rFonts w:ascii="Times New Roman" w:hAnsi="Times New Roman"/>
          <w:sz w:val="24"/>
          <w:szCs w:val="24"/>
        </w:rPr>
      </w:pPr>
    </w:p>
    <w:p w14:paraId="760B5459" w14:textId="77777777" w:rsidR="00076C09" w:rsidRPr="00076C09" w:rsidRDefault="00076C09" w:rsidP="00076C09">
      <w:pPr>
        <w:spacing w:after="0" w:line="360" w:lineRule="auto"/>
        <w:ind w:firstLine="709"/>
        <w:jc w:val="both"/>
        <w:rPr>
          <w:rFonts w:ascii="Times New Roman" w:hAnsi="Times New Roman"/>
          <w:sz w:val="24"/>
          <w:szCs w:val="24"/>
        </w:rPr>
      </w:pPr>
      <w:r w:rsidRPr="00076C09">
        <w:rPr>
          <w:rFonts w:ascii="Times New Roman" w:hAnsi="Times New Roman"/>
          <w:sz w:val="24"/>
          <w:szCs w:val="24"/>
        </w:rPr>
        <w:t xml:space="preserve">O Estado liberal, nessa concepção, se preocupa com a conduta dos homens e, com isso, supõe uma presença da população ativa tanto da execução quanto na compreensão dos propósitos republicanos. Assim, no liberalismo são efetivados eventos de </w:t>
      </w:r>
      <w:proofErr w:type="spellStart"/>
      <w:r w:rsidRPr="00076C09">
        <w:rPr>
          <w:rFonts w:ascii="Times New Roman" w:hAnsi="Times New Roman"/>
          <w:sz w:val="24"/>
          <w:szCs w:val="24"/>
        </w:rPr>
        <w:t>governamentalidade</w:t>
      </w:r>
      <w:proofErr w:type="spellEnd"/>
      <w:r w:rsidRPr="00076C09">
        <w:rPr>
          <w:rFonts w:ascii="Times New Roman" w:hAnsi="Times New Roman"/>
          <w:sz w:val="24"/>
          <w:szCs w:val="24"/>
        </w:rPr>
        <w:t xml:space="preserve"> para a consecução de seus princípios, entendida a </w:t>
      </w:r>
      <w:proofErr w:type="spellStart"/>
      <w:r w:rsidRPr="00076C09">
        <w:rPr>
          <w:rFonts w:ascii="Times New Roman" w:hAnsi="Times New Roman"/>
          <w:sz w:val="24"/>
          <w:szCs w:val="24"/>
        </w:rPr>
        <w:t>governamentalidade</w:t>
      </w:r>
      <w:proofErr w:type="spellEnd"/>
      <w:r w:rsidRPr="00076C09">
        <w:rPr>
          <w:rFonts w:ascii="Times New Roman" w:hAnsi="Times New Roman"/>
          <w:sz w:val="24"/>
          <w:szCs w:val="24"/>
        </w:rPr>
        <w:t xml:space="preserve"> como</w:t>
      </w:r>
    </w:p>
    <w:p w14:paraId="2BAFC422" w14:textId="77777777" w:rsidR="00076C09" w:rsidRPr="00076C09" w:rsidRDefault="00076C09" w:rsidP="00076C09">
      <w:pPr>
        <w:spacing w:after="0"/>
        <w:ind w:firstLine="709"/>
        <w:jc w:val="both"/>
        <w:rPr>
          <w:rFonts w:ascii="Times New Roman" w:hAnsi="Times New Roman"/>
          <w:sz w:val="24"/>
          <w:szCs w:val="24"/>
        </w:rPr>
      </w:pPr>
    </w:p>
    <w:p w14:paraId="1104121D" w14:textId="77777777" w:rsidR="00076C09" w:rsidRPr="00076C09" w:rsidRDefault="00076C09" w:rsidP="00076C09">
      <w:pPr>
        <w:pStyle w:val="NormalWeb"/>
        <w:spacing w:before="0" w:beforeAutospacing="0" w:after="0" w:afterAutospacing="0"/>
        <w:ind w:left="2268"/>
        <w:jc w:val="both"/>
        <w:rPr>
          <w:sz w:val="20"/>
          <w:szCs w:val="20"/>
        </w:rPr>
      </w:pPr>
      <w:r w:rsidRPr="00076C09">
        <w:rPr>
          <w:sz w:val="20"/>
          <w:szCs w:val="20"/>
        </w:rPr>
        <w:t>o conjunto constituído pelas instituições, procedimentos, análises e reflexões, cálculos e táticas que permitem exercer esta forma bastante específica e complexa de poder, que tem por alvo a população, por forma principal de saber a economia política e por instrumentos técnicos essenciais os dispositivos de segurança. (FOUCAULT, 2009, p. 291-292)</w:t>
      </w:r>
    </w:p>
    <w:p w14:paraId="64379A21" w14:textId="77777777" w:rsidR="00076C09" w:rsidRPr="00076C09" w:rsidRDefault="00076C09" w:rsidP="00076C09">
      <w:pPr>
        <w:spacing w:after="0"/>
        <w:ind w:firstLine="709"/>
        <w:jc w:val="both"/>
        <w:rPr>
          <w:rFonts w:ascii="Times New Roman" w:hAnsi="Times New Roman"/>
          <w:sz w:val="24"/>
          <w:szCs w:val="24"/>
        </w:rPr>
      </w:pPr>
    </w:p>
    <w:p w14:paraId="4420DBA6" w14:textId="77777777" w:rsidR="00076C09" w:rsidRPr="00076C09" w:rsidRDefault="00076C09" w:rsidP="00076C09">
      <w:pPr>
        <w:spacing w:after="0" w:line="360" w:lineRule="auto"/>
        <w:ind w:firstLine="709"/>
        <w:jc w:val="both"/>
        <w:rPr>
          <w:rFonts w:ascii="Times New Roman" w:hAnsi="Times New Roman"/>
          <w:sz w:val="24"/>
          <w:szCs w:val="24"/>
        </w:rPr>
      </w:pPr>
      <w:r w:rsidRPr="00076C09">
        <w:rPr>
          <w:rFonts w:ascii="Times New Roman" w:hAnsi="Times New Roman"/>
          <w:sz w:val="24"/>
          <w:szCs w:val="24"/>
        </w:rPr>
        <w:t xml:space="preserve">Esses princípios de </w:t>
      </w:r>
      <w:proofErr w:type="spellStart"/>
      <w:r w:rsidRPr="00076C09">
        <w:rPr>
          <w:rFonts w:ascii="Times New Roman" w:hAnsi="Times New Roman"/>
          <w:sz w:val="24"/>
          <w:szCs w:val="24"/>
        </w:rPr>
        <w:t>governamentalidade</w:t>
      </w:r>
      <w:proofErr w:type="spellEnd"/>
      <w:r w:rsidRPr="00076C09">
        <w:rPr>
          <w:rFonts w:ascii="Times New Roman" w:hAnsi="Times New Roman"/>
          <w:sz w:val="24"/>
          <w:szCs w:val="24"/>
        </w:rPr>
        <w:t xml:space="preserve"> se sustentavam mais na vontade de seus dirigentes em civilizar o Brasil, mas que ainda se manifestavam de forma incipiente e insipiente no seio da população.</w:t>
      </w:r>
    </w:p>
    <w:p w14:paraId="3B974C37" w14:textId="77777777" w:rsidR="00076C09" w:rsidRPr="00076C09" w:rsidRDefault="00076C09" w:rsidP="00076C09">
      <w:pPr>
        <w:spacing w:after="0" w:line="360" w:lineRule="auto"/>
        <w:ind w:firstLine="709"/>
        <w:jc w:val="both"/>
        <w:rPr>
          <w:rFonts w:ascii="Times New Roman" w:hAnsi="Times New Roman"/>
          <w:sz w:val="24"/>
          <w:szCs w:val="24"/>
        </w:rPr>
      </w:pPr>
      <w:r w:rsidRPr="00076C09">
        <w:rPr>
          <w:rFonts w:ascii="Times New Roman" w:hAnsi="Times New Roman"/>
          <w:sz w:val="24"/>
          <w:szCs w:val="24"/>
        </w:rPr>
        <w:t xml:space="preserve">As duas principais palavras-chave que caracterizam as três primeiras décadas do século XX na sociedade brasileira são: civilização e progresso. São essas as </w:t>
      </w:r>
      <w:r w:rsidRPr="00076C09">
        <w:rPr>
          <w:rFonts w:ascii="Times New Roman" w:hAnsi="Times New Roman"/>
          <w:sz w:val="24"/>
          <w:szCs w:val="24"/>
        </w:rPr>
        <w:lastRenderedPageBreak/>
        <w:t>preocupações diuturnas de seus dirigentes, posto que para haver uma elite é preciso, também, que exista uma população ordeira e obediente a (à) qual essa elite (se) dirige.</w:t>
      </w:r>
    </w:p>
    <w:p w14:paraId="3653BCD0" w14:textId="77777777" w:rsidR="00076C09" w:rsidRPr="00076C09" w:rsidRDefault="00076C09" w:rsidP="00076C09">
      <w:pPr>
        <w:spacing w:after="0" w:line="360" w:lineRule="auto"/>
        <w:ind w:firstLine="709"/>
        <w:jc w:val="both"/>
        <w:rPr>
          <w:rFonts w:ascii="Times New Roman" w:hAnsi="Times New Roman"/>
          <w:sz w:val="24"/>
          <w:szCs w:val="24"/>
        </w:rPr>
      </w:pPr>
      <w:r w:rsidRPr="00076C09">
        <w:rPr>
          <w:rFonts w:ascii="Times New Roman" w:hAnsi="Times New Roman"/>
          <w:sz w:val="24"/>
          <w:szCs w:val="24"/>
        </w:rPr>
        <w:t>Esses são os eixos de compreensão dos objetos pesquisados (as formas das práticas educativas nessa primeira metade do século XX no Brasil e mais especificamente nas pesquisas aqui em Minas Gerais arroladas no final do trabalho) que se sustentam a partir das contribuições de Foucault, das quais serão apresentados fragmentos.</w:t>
      </w:r>
    </w:p>
    <w:p w14:paraId="457F4171" w14:textId="77777777" w:rsidR="00076C09" w:rsidRPr="00076C09" w:rsidRDefault="00076C09" w:rsidP="00076C09">
      <w:pPr>
        <w:spacing w:after="0" w:line="360" w:lineRule="auto"/>
        <w:ind w:firstLine="709"/>
        <w:jc w:val="both"/>
        <w:rPr>
          <w:rFonts w:ascii="Times New Roman" w:hAnsi="Times New Roman"/>
          <w:sz w:val="24"/>
          <w:szCs w:val="24"/>
        </w:rPr>
      </w:pPr>
    </w:p>
    <w:p w14:paraId="3DFE69A3" w14:textId="77777777" w:rsidR="00076C09" w:rsidRPr="00076C09" w:rsidRDefault="00076C09" w:rsidP="00076C09">
      <w:pPr>
        <w:spacing w:after="0" w:line="360" w:lineRule="auto"/>
        <w:jc w:val="both"/>
        <w:rPr>
          <w:rFonts w:ascii="Times New Roman" w:hAnsi="Times New Roman"/>
          <w:b/>
          <w:sz w:val="24"/>
          <w:szCs w:val="24"/>
        </w:rPr>
      </w:pPr>
      <w:r w:rsidRPr="00076C09">
        <w:rPr>
          <w:rFonts w:ascii="Times New Roman" w:hAnsi="Times New Roman"/>
          <w:b/>
          <w:sz w:val="24"/>
          <w:szCs w:val="24"/>
        </w:rPr>
        <w:t>CONTRIBUIÇÕES DE FOUCAULT</w:t>
      </w:r>
    </w:p>
    <w:p w14:paraId="64276708" w14:textId="77777777" w:rsidR="00076C09" w:rsidRPr="00076C09" w:rsidRDefault="00076C09" w:rsidP="00076C09">
      <w:pPr>
        <w:spacing w:after="0" w:line="360" w:lineRule="auto"/>
        <w:ind w:firstLine="709"/>
        <w:jc w:val="both"/>
        <w:rPr>
          <w:rFonts w:ascii="Times New Roman" w:hAnsi="Times New Roman"/>
          <w:sz w:val="24"/>
          <w:szCs w:val="24"/>
        </w:rPr>
      </w:pPr>
    </w:p>
    <w:p w14:paraId="56A88F6C" w14:textId="77777777" w:rsidR="00076C09" w:rsidRPr="00076C09" w:rsidRDefault="00076C09" w:rsidP="00076C09">
      <w:pPr>
        <w:spacing w:after="0" w:line="360" w:lineRule="auto"/>
        <w:ind w:firstLine="709"/>
        <w:jc w:val="both"/>
        <w:rPr>
          <w:rFonts w:ascii="Times New Roman" w:hAnsi="Times New Roman"/>
          <w:sz w:val="24"/>
          <w:szCs w:val="24"/>
        </w:rPr>
      </w:pPr>
      <w:r w:rsidRPr="00076C09">
        <w:rPr>
          <w:rFonts w:ascii="Times New Roman" w:hAnsi="Times New Roman"/>
          <w:sz w:val="24"/>
          <w:szCs w:val="24"/>
        </w:rPr>
        <w:t>A partir de uma visão extensiva, a obra de Foucault oferece duas grandes contribuições para a historiografia: os conceitos, ou seja, as proposições epistemológicas que compreendem as análises mais conhecidas, mesmo que de complexo entendimento – visto que o autor era um filósofo e as contribuições metodológicas espraiadas pela sua obra não só pela argumentação de seus conceitos, como pela notória preocupação com a linguagem, foco de atenção dominante em sua época.</w:t>
      </w:r>
    </w:p>
    <w:p w14:paraId="1B930332" w14:textId="77777777" w:rsidR="00076C09" w:rsidRPr="00076C09" w:rsidRDefault="00076C09" w:rsidP="00076C09">
      <w:pPr>
        <w:tabs>
          <w:tab w:val="left" w:pos="0"/>
        </w:tabs>
        <w:spacing w:after="0" w:line="360" w:lineRule="auto"/>
        <w:ind w:firstLine="709"/>
        <w:jc w:val="both"/>
        <w:rPr>
          <w:rFonts w:ascii="Times New Roman" w:hAnsi="Times New Roman"/>
          <w:sz w:val="24"/>
          <w:szCs w:val="24"/>
        </w:rPr>
      </w:pPr>
      <w:r w:rsidRPr="00076C09">
        <w:rPr>
          <w:rFonts w:ascii="Times New Roman" w:hAnsi="Times New Roman"/>
          <w:sz w:val="24"/>
          <w:szCs w:val="24"/>
        </w:rPr>
        <w:t xml:space="preserve">A começar pela epistemologia, vejamos como o filósofo entendia a contribuição da história nova em </w:t>
      </w:r>
      <w:r w:rsidRPr="00076C09">
        <w:rPr>
          <w:rFonts w:ascii="Times New Roman" w:hAnsi="Times New Roman"/>
          <w:i/>
          <w:sz w:val="24"/>
          <w:szCs w:val="24"/>
        </w:rPr>
        <w:t>A arqueologia do saber</w:t>
      </w:r>
      <w:r w:rsidRPr="00076C09">
        <w:rPr>
          <w:rFonts w:ascii="Times New Roman" w:hAnsi="Times New Roman"/>
          <w:sz w:val="24"/>
          <w:szCs w:val="24"/>
        </w:rPr>
        <w:t xml:space="preserve"> </w:t>
      </w:r>
    </w:p>
    <w:p w14:paraId="71EE4A49" w14:textId="77777777" w:rsidR="00076C09" w:rsidRPr="00076C09" w:rsidRDefault="00076C09" w:rsidP="00076C09">
      <w:pPr>
        <w:tabs>
          <w:tab w:val="left" w:pos="0"/>
        </w:tabs>
        <w:spacing w:after="0"/>
        <w:ind w:firstLine="709"/>
        <w:jc w:val="both"/>
        <w:rPr>
          <w:rFonts w:ascii="Times New Roman" w:hAnsi="Times New Roman"/>
          <w:sz w:val="24"/>
          <w:szCs w:val="24"/>
        </w:rPr>
      </w:pPr>
    </w:p>
    <w:p w14:paraId="5DA4CA67" w14:textId="77777777" w:rsidR="00076C09" w:rsidRPr="00076C09" w:rsidRDefault="00076C09" w:rsidP="00076C09">
      <w:pPr>
        <w:tabs>
          <w:tab w:val="left" w:pos="0"/>
        </w:tabs>
        <w:spacing w:after="0" w:line="240" w:lineRule="auto"/>
        <w:ind w:left="2268"/>
        <w:jc w:val="both"/>
        <w:rPr>
          <w:rFonts w:ascii="Times New Roman" w:hAnsi="Times New Roman"/>
          <w:sz w:val="20"/>
          <w:szCs w:val="20"/>
        </w:rPr>
      </w:pPr>
      <w:r w:rsidRPr="00076C09">
        <w:rPr>
          <w:rFonts w:ascii="Times New Roman" w:hAnsi="Times New Roman"/>
          <w:sz w:val="20"/>
          <w:szCs w:val="20"/>
        </w:rPr>
        <w:t>Um dos traços mais essenciais da história nova é, sem dúvida, esse deslocamento do descontínuo: sua passagem do obstáculo à prática; sua integração no discurso do historiador, no qual não desempenha mais o papel de uma fatalidade exterior que é preciso reduzir, e sim o de um conceito operatório que se utiliza; por isso, a inversão de signos graças à qual ele não é mais o negativo da leitura histórica (seu avesso, seu fracasso, o limite de seu poder), mas o elemento positivo que determina e valida sua análise. A história nova [...] problematiza as séries, os recortes, os limites, os desníveis, as defasagens, as especificidades cronológicas, as formas singulares de permanência, os tipos possíveis de relação. (FOUCAULT, 2008a, p. 10-11)</w:t>
      </w:r>
    </w:p>
    <w:p w14:paraId="15F5C33D" w14:textId="77777777" w:rsidR="00076C09" w:rsidRPr="00076C09" w:rsidRDefault="00076C09" w:rsidP="00076C09">
      <w:pPr>
        <w:tabs>
          <w:tab w:val="left" w:pos="0"/>
        </w:tabs>
        <w:spacing w:after="0"/>
        <w:ind w:firstLine="709"/>
        <w:jc w:val="both"/>
        <w:rPr>
          <w:rFonts w:ascii="Times New Roman" w:hAnsi="Times New Roman"/>
          <w:sz w:val="24"/>
          <w:szCs w:val="24"/>
        </w:rPr>
      </w:pPr>
    </w:p>
    <w:p w14:paraId="104FAB44" w14:textId="77777777" w:rsidR="00076C09" w:rsidRPr="00076C09" w:rsidRDefault="00076C09" w:rsidP="00076C09">
      <w:pPr>
        <w:tabs>
          <w:tab w:val="left" w:pos="0"/>
        </w:tabs>
        <w:spacing w:after="0" w:line="360" w:lineRule="auto"/>
        <w:ind w:firstLine="709"/>
        <w:jc w:val="both"/>
        <w:rPr>
          <w:rFonts w:ascii="Times New Roman" w:hAnsi="Times New Roman"/>
          <w:sz w:val="24"/>
          <w:szCs w:val="24"/>
        </w:rPr>
      </w:pPr>
      <w:r w:rsidRPr="00076C09">
        <w:rPr>
          <w:rFonts w:ascii="Times New Roman" w:hAnsi="Times New Roman"/>
          <w:sz w:val="24"/>
          <w:szCs w:val="24"/>
        </w:rPr>
        <w:t>Foucault enxerga, dessa forma, um papel ao pesquisador de fazer parte da investigação, de não tentar se isentar ou se neutralizar diante daquilo que, em resumo, ele próprio propõe a ser pesquisado.</w:t>
      </w:r>
    </w:p>
    <w:p w14:paraId="5B6A1AB4" w14:textId="77777777" w:rsidR="00076C09" w:rsidRPr="00076C09" w:rsidRDefault="00076C09" w:rsidP="00076C09">
      <w:pPr>
        <w:tabs>
          <w:tab w:val="left" w:pos="0"/>
        </w:tabs>
        <w:spacing w:after="0" w:line="360" w:lineRule="auto"/>
        <w:ind w:firstLine="709"/>
        <w:jc w:val="both"/>
        <w:rPr>
          <w:rFonts w:ascii="Times New Roman" w:hAnsi="Times New Roman"/>
          <w:sz w:val="24"/>
          <w:szCs w:val="24"/>
        </w:rPr>
      </w:pPr>
      <w:r w:rsidRPr="00076C09">
        <w:rPr>
          <w:rFonts w:ascii="Times New Roman" w:hAnsi="Times New Roman"/>
          <w:sz w:val="24"/>
          <w:szCs w:val="24"/>
        </w:rPr>
        <w:t>Foucault vê a história a partir das descontinuidades, das rupturas, sem a preocupação com a teleologia:</w:t>
      </w:r>
    </w:p>
    <w:p w14:paraId="108F64C7" w14:textId="77777777" w:rsidR="00076C09" w:rsidRPr="00076C09" w:rsidRDefault="00076C09" w:rsidP="00076C09">
      <w:pPr>
        <w:tabs>
          <w:tab w:val="left" w:pos="0"/>
        </w:tabs>
        <w:spacing w:after="0"/>
        <w:ind w:firstLine="709"/>
        <w:jc w:val="both"/>
        <w:rPr>
          <w:rFonts w:ascii="Times New Roman" w:hAnsi="Times New Roman"/>
          <w:sz w:val="24"/>
          <w:szCs w:val="24"/>
        </w:rPr>
      </w:pPr>
    </w:p>
    <w:p w14:paraId="6819E3A8" w14:textId="77777777" w:rsidR="00076C09" w:rsidRPr="00076C09" w:rsidRDefault="00076C09" w:rsidP="00076C09">
      <w:pPr>
        <w:tabs>
          <w:tab w:val="left" w:pos="0"/>
        </w:tabs>
        <w:spacing w:after="0" w:line="240" w:lineRule="auto"/>
        <w:ind w:left="2268"/>
        <w:jc w:val="both"/>
        <w:rPr>
          <w:rFonts w:ascii="Times New Roman" w:hAnsi="Times New Roman"/>
          <w:sz w:val="20"/>
          <w:szCs w:val="20"/>
        </w:rPr>
      </w:pPr>
      <w:r w:rsidRPr="00076C09">
        <w:rPr>
          <w:rFonts w:ascii="Times New Roman" w:hAnsi="Times New Roman"/>
          <w:sz w:val="20"/>
          <w:szCs w:val="20"/>
        </w:rPr>
        <w:t xml:space="preserve">O problema que se apresenta – e que define a tarefa de uma história geral – é determinar que forma de relação pode ser legitimamente descrita entre essas diferentes séries; que sistema vertical podem formar; qual é, de umas às </w:t>
      </w:r>
      <w:r w:rsidRPr="00076C09">
        <w:rPr>
          <w:rFonts w:ascii="Times New Roman" w:hAnsi="Times New Roman"/>
          <w:sz w:val="20"/>
          <w:szCs w:val="20"/>
        </w:rPr>
        <w:lastRenderedPageBreak/>
        <w:t>outras, o jogo de correlações e das dominâncias; de que efeito podem ser as defasagens e as temporalidades diferentes, as diversas permanências; em que conjuntos distintos certos elementos podem figurar simultaneamente; em resumo, não somente que séries, mas que “séries de séries” – ou, em outros termos, que “quadros” – é possível constituir. Uma descrição global cinge todos os fenômenos em torno de um centro único – princípio, significação, espírito, visão de mundo, forma de conjunto; uma história geral desdobraria, ao contrário, o espaço de uma dispersão. (FOUCAULT, 2008a, p. 11-12)</w:t>
      </w:r>
    </w:p>
    <w:p w14:paraId="443F9B2B" w14:textId="77777777" w:rsidR="00076C09" w:rsidRPr="00076C09" w:rsidRDefault="00076C09" w:rsidP="00076C09">
      <w:pPr>
        <w:tabs>
          <w:tab w:val="left" w:pos="0"/>
        </w:tabs>
        <w:spacing w:after="0"/>
        <w:ind w:firstLine="709"/>
        <w:jc w:val="both"/>
        <w:rPr>
          <w:rFonts w:ascii="Times New Roman" w:hAnsi="Times New Roman"/>
          <w:sz w:val="24"/>
          <w:szCs w:val="24"/>
        </w:rPr>
      </w:pPr>
    </w:p>
    <w:p w14:paraId="5730931E" w14:textId="77777777" w:rsidR="00076C09" w:rsidRPr="00076C09" w:rsidRDefault="00076C09" w:rsidP="00076C09">
      <w:pPr>
        <w:spacing w:after="0" w:line="360" w:lineRule="auto"/>
        <w:ind w:firstLine="709"/>
        <w:jc w:val="both"/>
        <w:rPr>
          <w:rFonts w:ascii="Times New Roman" w:hAnsi="Times New Roman"/>
          <w:sz w:val="24"/>
          <w:szCs w:val="24"/>
        </w:rPr>
      </w:pPr>
      <w:r w:rsidRPr="00076C09">
        <w:rPr>
          <w:rFonts w:ascii="Times New Roman" w:hAnsi="Times New Roman"/>
          <w:sz w:val="24"/>
          <w:szCs w:val="24"/>
        </w:rPr>
        <w:t xml:space="preserve">Por sua vez, em </w:t>
      </w:r>
      <w:r w:rsidRPr="00076C09">
        <w:rPr>
          <w:rFonts w:ascii="Times New Roman" w:hAnsi="Times New Roman"/>
          <w:i/>
          <w:sz w:val="24"/>
          <w:szCs w:val="24"/>
        </w:rPr>
        <w:t>As palavras e as coisas</w:t>
      </w:r>
      <w:r w:rsidRPr="00076C09">
        <w:rPr>
          <w:rFonts w:ascii="Times New Roman" w:hAnsi="Times New Roman"/>
          <w:sz w:val="24"/>
          <w:szCs w:val="24"/>
        </w:rPr>
        <w:t xml:space="preserve"> uma parte da discussão sobre a história do pensamento que pode ser apropriada para a conceituação da história em geral:</w:t>
      </w:r>
    </w:p>
    <w:p w14:paraId="7D88BF36" w14:textId="77777777" w:rsidR="00076C09" w:rsidRPr="00076C09" w:rsidRDefault="00076C09" w:rsidP="00076C09">
      <w:pPr>
        <w:spacing w:after="0"/>
        <w:ind w:firstLine="709"/>
        <w:jc w:val="both"/>
        <w:rPr>
          <w:rFonts w:ascii="Times New Roman" w:hAnsi="Times New Roman"/>
          <w:sz w:val="24"/>
          <w:szCs w:val="24"/>
        </w:rPr>
      </w:pPr>
    </w:p>
    <w:p w14:paraId="021C683E" w14:textId="77777777" w:rsidR="00076C09" w:rsidRPr="00076C09" w:rsidRDefault="00076C09" w:rsidP="00076C09">
      <w:pPr>
        <w:spacing w:after="0" w:line="240" w:lineRule="auto"/>
        <w:ind w:left="2268"/>
        <w:jc w:val="both"/>
        <w:rPr>
          <w:rFonts w:ascii="Times New Roman" w:hAnsi="Times New Roman"/>
          <w:sz w:val="20"/>
          <w:szCs w:val="20"/>
        </w:rPr>
      </w:pPr>
      <w:r w:rsidRPr="00076C09">
        <w:rPr>
          <w:rFonts w:ascii="Times New Roman" w:hAnsi="Times New Roman"/>
          <w:sz w:val="20"/>
          <w:szCs w:val="20"/>
        </w:rPr>
        <w:t>Não é fácil estabelecer o estatuto das descontinuidades para a história em geral. Menos ainda, sem dúvida, para a história do pensamento. Pretende-se traçar uma divisória? Todo limite não é mais talvez que um corte arbitrário num conjunto indefinidamente móvel. Pretende-se demarcar um período? Tem-se porém o direito de estabelecer, em dois pontos do tempo, rupturas simétricas, para fazer aparecer entre elas um sistema contínuo e unitário? A partir de que, em seguida, se desvaneceria e se deslocaria? A que regime poderiam obedecer ao mesmo tempo sua existência e seu desaparecimento? Se ele tem em si seu princípio de coerência, donde viria o elemento estranho capaz de recusá-lo? Como pode um pensamento esquivar-se diante de outra coisa que ele próprio? Que quer dizer, de um modo geral: não mais poder pensar um pensamento? E inaugurar um pensamento novo? (FOUCAULT, 2007, p. 68-69)</w:t>
      </w:r>
    </w:p>
    <w:p w14:paraId="16D7BC1D" w14:textId="77777777" w:rsidR="00076C09" w:rsidRPr="00076C09" w:rsidRDefault="00076C09" w:rsidP="00076C09">
      <w:pPr>
        <w:tabs>
          <w:tab w:val="left" w:pos="0"/>
        </w:tabs>
        <w:spacing w:after="0"/>
        <w:ind w:firstLine="709"/>
        <w:jc w:val="both"/>
        <w:rPr>
          <w:rFonts w:ascii="Times New Roman" w:hAnsi="Times New Roman"/>
          <w:sz w:val="24"/>
          <w:szCs w:val="24"/>
        </w:rPr>
      </w:pPr>
    </w:p>
    <w:p w14:paraId="6D5850BE" w14:textId="77777777" w:rsidR="00076C09" w:rsidRPr="00076C09" w:rsidRDefault="00076C09" w:rsidP="00076C09">
      <w:pPr>
        <w:tabs>
          <w:tab w:val="left" w:pos="0"/>
        </w:tabs>
        <w:spacing w:after="0" w:line="360" w:lineRule="auto"/>
        <w:ind w:firstLine="709"/>
        <w:jc w:val="both"/>
        <w:rPr>
          <w:rFonts w:ascii="Times New Roman" w:hAnsi="Times New Roman"/>
          <w:sz w:val="24"/>
          <w:szCs w:val="24"/>
        </w:rPr>
      </w:pPr>
      <w:r w:rsidRPr="00076C09">
        <w:rPr>
          <w:rFonts w:ascii="Times New Roman" w:hAnsi="Times New Roman"/>
          <w:sz w:val="24"/>
          <w:szCs w:val="24"/>
        </w:rPr>
        <w:t>Pode-se facilmente perceber que, em sua argumentação epistemológica, Foucault apresenta seu método (ou serão métodos?) de proceder. Logo de cara se leem muitas indagações em meio a afirmações que se jogam nesses espaços de argumentação.</w:t>
      </w:r>
    </w:p>
    <w:p w14:paraId="701E804F" w14:textId="77777777" w:rsidR="00076C09" w:rsidRPr="00076C09" w:rsidRDefault="00076C09" w:rsidP="00076C09">
      <w:pPr>
        <w:tabs>
          <w:tab w:val="left" w:pos="0"/>
        </w:tabs>
        <w:spacing w:after="0" w:line="360" w:lineRule="auto"/>
        <w:ind w:firstLine="709"/>
        <w:jc w:val="both"/>
        <w:rPr>
          <w:rFonts w:ascii="Times New Roman" w:hAnsi="Times New Roman"/>
          <w:sz w:val="24"/>
          <w:szCs w:val="24"/>
        </w:rPr>
      </w:pPr>
      <w:r w:rsidRPr="00076C09">
        <w:rPr>
          <w:rFonts w:ascii="Times New Roman" w:hAnsi="Times New Roman"/>
          <w:sz w:val="24"/>
          <w:szCs w:val="24"/>
        </w:rPr>
        <w:t xml:space="preserve">É preciso marcar como uma referência importante para a sustentação das investigações aqui desenvolvidas sob a ótica do pensador francês a mesma proposta metodológica contida logo no início de </w:t>
      </w:r>
      <w:r w:rsidRPr="00076C09">
        <w:rPr>
          <w:rFonts w:ascii="Times New Roman" w:hAnsi="Times New Roman"/>
          <w:i/>
          <w:sz w:val="24"/>
          <w:szCs w:val="24"/>
        </w:rPr>
        <w:t>História da sexualidade 2, o uso dos prazeres</w:t>
      </w:r>
      <w:r w:rsidRPr="00076C09">
        <w:rPr>
          <w:rFonts w:ascii="Times New Roman" w:hAnsi="Times New Roman"/>
          <w:sz w:val="24"/>
          <w:szCs w:val="24"/>
        </w:rPr>
        <w:t>. O autor se propõe a falar da “sexualidade” a partir de três eixos que a constituem:</w:t>
      </w:r>
    </w:p>
    <w:p w14:paraId="5D2D3721" w14:textId="77777777" w:rsidR="00076C09" w:rsidRPr="00076C09" w:rsidRDefault="00076C09" w:rsidP="00076C09">
      <w:pPr>
        <w:tabs>
          <w:tab w:val="left" w:pos="0"/>
        </w:tabs>
        <w:spacing w:after="0"/>
        <w:ind w:firstLine="709"/>
        <w:jc w:val="both"/>
        <w:rPr>
          <w:rFonts w:ascii="Times New Roman" w:hAnsi="Times New Roman"/>
          <w:sz w:val="24"/>
          <w:szCs w:val="24"/>
        </w:rPr>
      </w:pPr>
    </w:p>
    <w:p w14:paraId="2AA8E480" w14:textId="77777777" w:rsidR="00076C09" w:rsidRPr="00076C09" w:rsidRDefault="00076C09" w:rsidP="00076C09">
      <w:pPr>
        <w:tabs>
          <w:tab w:val="left" w:pos="2340"/>
        </w:tabs>
        <w:spacing w:after="0" w:line="240" w:lineRule="auto"/>
        <w:ind w:left="2268"/>
        <w:jc w:val="both"/>
        <w:rPr>
          <w:rFonts w:ascii="Times New Roman" w:hAnsi="Times New Roman"/>
          <w:sz w:val="20"/>
          <w:szCs w:val="20"/>
        </w:rPr>
      </w:pPr>
      <w:r w:rsidRPr="00076C09">
        <w:rPr>
          <w:rFonts w:ascii="Times New Roman" w:hAnsi="Times New Roman"/>
          <w:sz w:val="20"/>
          <w:szCs w:val="20"/>
        </w:rPr>
        <w:t>a formação dos saberes que a ela se referem, os sistemas de poder que regulam sua prática e as formas pelas quais os indivíduos podem e devem se reconhecer como sujeitos dessa sexualidade. (FOUCAULT, 1998, p. 10)</w:t>
      </w:r>
    </w:p>
    <w:p w14:paraId="2C52D17A" w14:textId="77777777" w:rsidR="00076C09" w:rsidRPr="00076C09" w:rsidRDefault="00076C09" w:rsidP="00076C09">
      <w:pPr>
        <w:tabs>
          <w:tab w:val="left" w:pos="0"/>
        </w:tabs>
        <w:spacing w:after="0"/>
        <w:ind w:firstLine="709"/>
        <w:jc w:val="both"/>
        <w:rPr>
          <w:rFonts w:ascii="Times New Roman" w:hAnsi="Times New Roman"/>
          <w:sz w:val="24"/>
          <w:szCs w:val="24"/>
        </w:rPr>
      </w:pPr>
    </w:p>
    <w:p w14:paraId="003AFA09" w14:textId="77777777" w:rsidR="00076C09" w:rsidRPr="00076C09" w:rsidRDefault="00076C09" w:rsidP="00076C09">
      <w:pPr>
        <w:tabs>
          <w:tab w:val="left" w:pos="0"/>
        </w:tabs>
        <w:spacing w:after="0" w:line="360" w:lineRule="auto"/>
        <w:ind w:firstLine="709"/>
        <w:jc w:val="both"/>
        <w:rPr>
          <w:rFonts w:ascii="Times New Roman" w:hAnsi="Times New Roman"/>
          <w:sz w:val="24"/>
          <w:szCs w:val="24"/>
        </w:rPr>
      </w:pPr>
      <w:r w:rsidRPr="00076C09">
        <w:rPr>
          <w:rFonts w:ascii="Times New Roman" w:hAnsi="Times New Roman"/>
          <w:sz w:val="24"/>
          <w:szCs w:val="24"/>
        </w:rPr>
        <w:t xml:space="preserve">Esses três eixos podem confortavelmente acomodar fora do âmbito do trabalho de Foucault sobre a sexualidade outros objetos para estudos e pesquisas. É importante reiterar da citação a “formação de saberes” (como </w:t>
      </w:r>
      <w:r w:rsidRPr="00076C09">
        <w:rPr>
          <w:rFonts w:ascii="Times New Roman" w:hAnsi="Times New Roman"/>
          <w:i/>
          <w:sz w:val="24"/>
          <w:szCs w:val="24"/>
        </w:rPr>
        <w:t>genealogia</w:t>
      </w:r>
      <w:r w:rsidRPr="00076C09">
        <w:rPr>
          <w:rFonts w:ascii="Times New Roman" w:hAnsi="Times New Roman"/>
          <w:sz w:val="24"/>
          <w:szCs w:val="24"/>
        </w:rPr>
        <w:t xml:space="preserve">); “os sistemas de poder que regulam” (como instâncias promotoras de </w:t>
      </w:r>
      <w:r w:rsidRPr="00076C09">
        <w:rPr>
          <w:rFonts w:ascii="Times New Roman" w:hAnsi="Times New Roman"/>
          <w:i/>
          <w:sz w:val="24"/>
          <w:szCs w:val="24"/>
        </w:rPr>
        <w:t>relações ou de sistemas de relações com</w:t>
      </w:r>
      <w:r w:rsidRPr="00076C09">
        <w:rPr>
          <w:rFonts w:ascii="Times New Roman" w:hAnsi="Times New Roman"/>
          <w:sz w:val="24"/>
          <w:szCs w:val="24"/>
        </w:rPr>
        <w:t xml:space="preserve">); (e as) “[...] formas como se reconhecer como sujeitos” (isto é o </w:t>
      </w:r>
      <w:r w:rsidRPr="00076C09">
        <w:rPr>
          <w:rFonts w:ascii="Times New Roman" w:hAnsi="Times New Roman"/>
          <w:i/>
          <w:sz w:val="24"/>
          <w:szCs w:val="24"/>
        </w:rPr>
        <w:t>modo</w:t>
      </w:r>
      <w:r w:rsidRPr="00076C09">
        <w:rPr>
          <w:rFonts w:ascii="Times New Roman" w:hAnsi="Times New Roman"/>
          <w:sz w:val="24"/>
          <w:szCs w:val="24"/>
        </w:rPr>
        <w:t xml:space="preserve"> como essas regulações de saberes e de poder se fazem presentes na constituição de sujeitos sociais).</w:t>
      </w:r>
    </w:p>
    <w:p w14:paraId="7196CE09" w14:textId="77777777" w:rsidR="00076C09" w:rsidRPr="00076C09" w:rsidRDefault="00076C09" w:rsidP="00076C09">
      <w:pPr>
        <w:tabs>
          <w:tab w:val="left" w:pos="0"/>
        </w:tabs>
        <w:spacing w:after="0" w:line="360" w:lineRule="auto"/>
        <w:ind w:firstLine="709"/>
        <w:jc w:val="both"/>
        <w:rPr>
          <w:rFonts w:ascii="Times New Roman" w:hAnsi="Times New Roman"/>
          <w:sz w:val="24"/>
          <w:szCs w:val="24"/>
        </w:rPr>
      </w:pPr>
      <w:r w:rsidRPr="00076C09">
        <w:rPr>
          <w:rFonts w:ascii="Times New Roman" w:hAnsi="Times New Roman"/>
          <w:sz w:val="24"/>
          <w:szCs w:val="24"/>
        </w:rPr>
        <w:lastRenderedPageBreak/>
        <w:t xml:space="preserve">Outro conceito trabalhado por Foucault e que merece destaque aparece logo no início de </w:t>
      </w:r>
      <w:r w:rsidRPr="00076C09">
        <w:rPr>
          <w:rFonts w:ascii="Times New Roman" w:hAnsi="Times New Roman"/>
          <w:i/>
          <w:sz w:val="24"/>
          <w:szCs w:val="24"/>
        </w:rPr>
        <w:t>As palavras e as coisas</w:t>
      </w:r>
      <w:r w:rsidRPr="00076C09">
        <w:rPr>
          <w:rFonts w:ascii="Times New Roman" w:hAnsi="Times New Roman"/>
          <w:sz w:val="24"/>
          <w:szCs w:val="24"/>
        </w:rPr>
        <w:t>: o heteróclito. Aqui se trata da possibilidade de ordenar, colocar em categorias os conhecimentos e dar uma forma ao campo epistemológico de cunho objetivo e até científico. O heteróclito em Foucault é trazido como uma provocação para se refletir tanto sobre a sintaxe das palavras e suas relações de concordância, subordinação e ordem, quanto sobre a semântica no que se denominam significados e sentidos para as palavras.</w:t>
      </w:r>
      <w:r w:rsidRPr="00076C09">
        <w:rPr>
          <w:rStyle w:val="FootnoteReference"/>
          <w:rFonts w:ascii="Times New Roman" w:hAnsi="Times New Roman"/>
          <w:sz w:val="24"/>
          <w:szCs w:val="24"/>
        </w:rPr>
        <w:footnoteReference w:id="2"/>
      </w:r>
    </w:p>
    <w:p w14:paraId="416B13E6" w14:textId="77777777" w:rsidR="00076C09" w:rsidRPr="00076C09" w:rsidRDefault="00076C09" w:rsidP="00076C09">
      <w:pPr>
        <w:tabs>
          <w:tab w:val="left" w:pos="0"/>
        </w:tabs>
        <w:spacing w:after="0" w:line="360" w:lineRule="auto"/>
        <w:ind w:firstLine="709"/>
        <w:jc w:val="both"/>
        <w:rPr>
          <w:rFonts w:ascii="Times New Roman" w:hAnsi="Times New Roman"/>
          <w:sz w:val="24"/>
          <w:szCs w:val="24"/>
        </w:rPr>
      </w:pPr>
    </w:p>
    <w:p w14:paraId="43E744AF" w14:textId="77777777" w:rsidR="00076C09" w:rsidRPr="00076C09" w:rsidRDefault="00076C09" w:rsidP="00076C09">
      <w:pPr>
        <w:spacing w:after="0" w:line="360" w:lineRule="auto"/>
        <w:jc w:val="both"/>
        <w:rPr>
          <w:rFonts w:ascii="Times New Roman" w:hAnsi="Times New Roman"/>
          <w:b/>
          <w:sz w:val="24"/>
          <w:szCs w:val="24"/>
        </w:rPr>
      </w:pPr>
      <w:r w:rsidRPr="00076C09">
        <w:rPr>
          <w:rFonts w:ascii="Times New Roman" w:hAnsi="Times New Roman"/>
          <w:b/>
          <w:sz w:val="24"/>
          <w:szCs w:val="24"/>
        </w:rPr>
        <w:t xml:space="preserve">A PESQUISA DESENVOLVIDA NA UNIVERSIDADE FEDERAL DE SÃO JOÃO DEL-REI: O PENSAMENTO EDUCACIONAL DA PRIMEIRA METADE DO SÉCULO XX </w:t>
      </w:r>
      <w:r w:rsidRPr="00076C09">
        <w:rPr>
          <w:rFonts w:ascii="Times New Roman" w:hAnsi="Times New Roman"/>
          <w:sz w:val="24"/>
          <w:szCs w:val="24"/>
        </w:rPr>
        <w:t>–</w:t>
      </w:r>
      <w:r w:rsidRPr="00076C09">
        <w:rPr>
          <w:rFonts w:ascii="Times New Roman" w:hAnsi="Times New Roman"/>
          <w:b/>
          <w:sz w:val="24"/>
          <w:szCs w:val="24"/>
        </w:rPr>
        <w:t xml:space="preserve"> UMA ANÁLISE BIOPOLÍTICA DAS PRÁTICAS EDUCATIVAS BRASILEIRAS</w:t>
      </w:r>
    </w:p>
    <w:p w14:paraId="1A42B728" w14:textId="77777777" w:rsidR="00076C09" w:rsidRPr="00076C09" w:rsidRDefault="00076C09" w:rsidP="00076C09">
      <w:pPr>
        <w:spacing w:after="0" w:line="360" w:lineRule="auto"/>
        <w:ind w:firstLine="709"/>
        <w:jc w:val="both"/>
        <w:rPr>
          <w:rFonts w:ascii="Times New Roman" w:hAnsi="Times New Roman"/>
          <w:sz w:val="24"/>
          <w:szCs w:val="24"/>
        </w:rPr>
      </w:pPr>
    </w:p>
    <w:p w14:paraId="0C793B3F" w14:textId="77777777" w:rsidR="00076C09" w:rsidRPr="00076C09" w:rsidRDefault="00076C09" w:rsidP="00076C09">
      <w:pPr>
        <w:spacing w:after="0" w:line="360" w:lineRule="auto"/>
        <w:ind w:firstLine="709"/>
        <w:jc w:val="both"/>
        <w:rPr>
          <w:rFonts w:ascii="Times New Roman" w:hAnsi="Times New Roman"/>
          <w:sz w:val="24"/>
          <w:szCs w:val="24"/>
        </w:rPr>
      </w:pPr>
      <w:r w:rsidRPr="00076C09">
        <w:rPr>
          <w:rFonts w:ascii="Times New Roman" w:hAnsi="Times New Roman"/>
          <w:sz w:val="24"/>
          <w:szCs w:val="24"/>
        </w:rPr>
        <w:t>A primeira metade do século XX no Brasil pode ser caracterizada tanto pelo esforço de escolarização por todo o país como pela tênue presença das instituições escolares na vida social. Essa ambiguidade – necessidade de expansão da escola na sociedade e sua inoperância devido à falta de qualificação de profissionais da educação e de investimentos efetivos em instituições escolares – faz com que tenhamos de nos voltar a outros meios sociais que parecem ter cumprido um papel educativo tão, ou mais importante até, que a escola. Com isso, as pesquisas sobre a educação na primeira metade do século XX no Brasil têm que dar uma atenção especial ao pensamento educacional que circulava principalmente na imprensa periódica.</w:t>
      </w:r>
    </w:p>
    <w:p w14:paraId="21E29ED4" w14:textId="77777777" w:rsidR="00076C09" w:rsidRPr="00076C09" w:rsidRDefault="00076C09" w:rsidP="00076C09">
      <w:pPr>
        <w:spacing w:after="0" w:line="360" w:lineRule="auto"/>
        <w:ind w:firstLine="709"/>
        <w:jc w:val="both"/>
        <w:rPr>
          <w:rFonts w:ascii="Times New Roman" w:hAnsi="Times New Roman"/>
          <w:sz w:val="24"/>
          <w:szCs w:val="24"/>
        </w:rPr>
      </w:pPr>
      <w:r w:rsidRPr="00076C09">
        <w:rPr>
          <w:rFonts w:ascii="Times New Roman" w:hAnsi="Times New Roman"/>
          <w:sz w:val="24"/>
          <w:szCs w:val="24"/>
        </w:rPr>
        <w:t>A sociedade brasileira nessa época parece ter sido entendida pelos intelectuais e dirigentes daquele momento histórico como uma aglomeração popular desarmônica e inculta, cuja característica mais marcante era a “falta”. Principalmente, a falta de cuidados: com a saúde – leia-se higiene, com a moral, com a educação e também com a própria raça – entendida na época como a marca de cada nação no panteão das sociedades civilizadas que cultivavam o patriotismo como sinonímia de amor próprio: ser civilizado é também ser patriota e assim contribuir para o engrandecimento da raça.</w:t>
      </w:r>
    </w:p>
    <w:p w14:paraId="0DF3F4AC" w14:textId="77777777" w:rsidR="00076C09" w:rsidRPr="00076C09" w:rsidRDefault="00076C09" w:rsidP="00076C09">
      <w:pPr>
        <w:spacing w:after="0" w:line="360" w:lineRule="auto"/>
        <w:ind w:firstLine="709"/>
        <w:jc w:val="both"/>
        <w:rPr>
          <w:rFonts w:ascii="Times New Roman" w:hAnsi="Times New Roman"/>
          <w:sz w:val="24"/>
          <w:szCs w:val="24"/>
        </w:rPr>
      </w:pPr>
      <w:r w:rsidRPr="00076C09">
        <w:rPr>
          <w:rFonts w:ascii="Times New Roman" w:hAnsi="Times New Roman"/>
          <w:sz w:val="24"/>
          <w:szCs w:val="24"/>
        </w:rPr>
        <w:lastRenderedPageBreak/>
        <w:t xml:space="preserve">Enfim, a população era vista como necessitada de uma intervenção política – ou melhor, </w:t>
      </w:r>
      <w:proofErr w:type="spellStart"/>
      <w:r w:rsidRPr="00076C09">
        <w:rPr>
          <w:rFonts w:ascii="Times New Roman" w:hAnsi="Times New Roman"/>
          <w:sz w:val="24"/>
          <w:szCs w:val="24"/>
        </w:rPr>
        <w:t>biopolítica</w:t>
      </w:r>
      <w:proofErr w:type="spellEnd"/>
      <w:r w:rsidRPr="00076C09">
        <w:rPr>
          <w:rFonts w:ascii="Times New Roman" w:hAnsi="Times New Roman"/>
          <w:sz w:val="24"/>
          <w:szCs w:val="24"/>
        </w:rPr>
        <w:t xml:space="preserve"> se empregarmos a concepção de Foucault, segundo a qual</w:t>
      </w:r>
    </w:p>
    <w:p w14:paraId="62FE332A" w14:textId="77777777" w:rsidR="00076C09" w:rsidRPr="00076C09" w:rsidRDefault="00076C09" w:rsidP="00076C09">
      <w:pPr>
        <w:spacing w:after="0"/>
        <w:ind w:firstLine="709"/>
        <w:jc w:val="both"/>
        <w:rPr>
          <w:rFonts w:ascii="Times New Roman" w:hAnsi="Times New Roman"/>
          <w:sz w:val="24"/>
          <w:szCs w:val="24"/>
        </w:rPr>
      </w:pPr>
    </w:p>
    <w:p w14:paraId="4CFDB370" w14:textId="77777777" w:rsidR="00076C09" w:rsidRPr="00076C09" w:rsidRDefault="00076C09" w:rsidP="00076C09">
      <w:pPr>
        <w:spacing w:after="0" w:line="240" w:lineRule="auto"/>
        <w:ind w:left="2268"/>
        <w:jc w:val="both"/>
        <w:rPr>
          <w:rFonts w:ascii="Times New Roman" w:hAnsi="Times New Roman"/>
          <w:sz w:val="20"/>
          <w:szCs w:val="20"/>
        </w:rPr>
      </w:pPr>
      <w:r w:rsidRPr="00076C09">
        <w:rPr>
          <w:rFonts w:ascii="Times New Roman" w:hAnsi="Times New Roman"/>
          <w:sz w:val="20"/>
          <w:szCs w:val="20"/>
        </w:rPr>
        <w:t>deveríamos falar de “</w:t>
      </w:r>
      <w:proofErr w:type="spellStart"/>
      <w:r w:rsidRPr="00076C09">
        <w:rPr>
          <w:rFonts w:ascii="Times New Roman" w:hAnsi="Times New Roman"/>
          <w:sz w:val="20"/>
          <w:szCs w:val="20"/>
        </w:rPr>
        <w:t>bio</w:t>
      </w:r>
      <w:proofErr w:type="spellEnd"/>
      <w:r w:rsidRPr="00076C09">
        <w:rPr>
          <w:rFonts w:ascii="Times New Roman" w:hAnsi="Times New Roman"/>
          <w:sz w:val="20"/>
          <w:szCs w:val="20"/>
        </w:rPr>
        <w:t>-política” para designar o que faz com que a vida e seus mecanismos entrem no domínio dos cálculos explícitos, e faz do poder-saber um agente de transformação da vida humana; não é que a vida tenha sido exaustivamente integrada em técnicas que a dominem e gerem; ela lhes escapa continuamente. (FOUCAULT, 1988, p. 155-156)</w:t>
      </w:r>
    </w:p>
    <w:p w14:paraId="3BD9C015" w14:textId="77777777" w:rsidR="00076C09" w:rsidRPr="00076C09" w:rsidRDefault="00076C09" w:rsidP="00076C09">
      <w:pPr>
        <w:spacing w:after="0"/>
        <w:ind w:firstLine="709"/>
        <w:jc w:val="both"/>
        <w:rPr>
          <w:rFonts w:ascii="Times New Roman" w:hAnsi="Times New Roman"/>
          <w:sz w:val="24"/>
          <w:szCs w:val="24"/>
        </w:rPr>
      </w:pPr>
    </w:p>
    <w:p w14:paraId="2BAAAACA" w14:textId="77777777" w:rsidR="00076C09" w:rsidRPr="00076C09" w:rsidRDefault="00076C09" w:rsidP="00076C09">
      <w:pPr>
        <w:spacing w:after="0" w:line="360" w:lineRule="auto"/>
        <w:ind w:firstLine="709"/>
        <w:jc w:val="both"/>
        <w:rPr>
          <w:rFonts w:ascii="Times New Roman" w:hAnsi="Times New Roman"/>
          <w:sz w:val="24"/>
          <w:szCs w:val="24"/>
        </w:rPr>
      </w:pPr>
      <w:r w:rsidRPr="00076C09">
        <w:rPr>
          <w:rFonts w:ascii="Times New Roman" w:hAnsi="Times New Roman"/>
          <w:sz w:val="24"/>
          <w:szCs w:val="24"/>
        </w:rPr>
        <w:t xml:space="preserve">E, também, no sentido de “utilizar essa população como uma espécie de entidade biológica, como máquina para produzir riquezas, bens e outros indivíduos” (FOUCAULT, 2008b, p. 59). A finalidade dessa intervenção </w:t>
      </w:r>
      <w:proofErr w:type="spellStart"/>
      <w:r w:rsidRPr="00076C09">
        <w:rPr>
          <w:rFonts w:ascii="Times New Roman" w:hAnsi="Times New Roman"/>
          <w:sz w:val="24"/>
          <w:szCs w:val="24"/>
        </w:rPr>
        <w:t>biopolítica</w:t>
      </w:r>
      <w:proofErr w:type="spellEnd"/>
      <w:r w:rsidRPr="00076C09">
        <w:rPr>
          <w:rFonts w:ascii="Times New Roman" w:hAnsi="Times New Roman"/>
          <w:sz w:val="24"/>
          <w:szCs w:val="24"/>
        </w:rPr>
        <w:t xml:space="preserve"> era corrigir, doutrinar e moldar a tal aglomeração popular, principalmente nas cidades – vitrine da vida civilizada –, mas sem descuidar também do “rude homem do campo”. As referências para esse modo de vida eram as sociedades europeias, principalmente França e Alemanha, e a americana. Nesse </w:t>
      </w:r>
      <w:proofErr w:type="spellStart"/>
      <w:r w:rsidRPr="00076C09">
        <w:rPr>
          <w:rFonts w:ascii="Times New Roman" w:hAnsi="Times New Roman"/>
          <w:sz w:val="24"/>
          <w:szCs w:val="24"/>
        </w:rPr>
        <w:t>autoentendimento</w:t>
      </w:r>
      <w:proofErr w:type="spellEnd"/>
      <w:r w:rsidRPr="00076C09">
        <w:rPr>
          <w:rFonts w:ascii="Times New Roman" w:hAnsi="Times New Roman"/>
          <w:sz w:val="24"/>
          <w:szCs w:val="24"/>
        </w:rPr>
        <w:t xml:space="preserve"> do que era uma vida civilizada, somente as próprias elites podiam indicar como fazer para constituir um povo ordeiro, controlado, útil e trabalhador; enfim, tornar o brasileiro saudável física e moralmente e patriota.</w:t>
      </w:r>
    </w:p>
    <w:p w14:paraId="4D66D3F6" w14:textId="77777777" w:rsidR="00076C09" w:rsidRPr="00076C09" w:rsidRDefault="00076C09" w:rsidP="00076C09">
      <w:pPr>
        <w:spacing w:after="0" w:line="360" w:lineRule="auto"/>
        <w:ind w:firstLine="709"/>
        <w:jc w:val="both"/>
        <w:rPr>
          <w:rFonts w:ascii="Times New Roman" w:hAnsi="Times New Roman"/>
          <w:sz w:val="24"/>
          <w:szCs w:val="24"/>
        </w:rPr>
      </w:pPr>
      <w:r w:rsidRPr="00076C09">
        <w:rPr>
          <w:rFonts w:ascii="Times New Roman" w:hAnsi="Times New Roman"/>
          <w:sz w:val="24"/>
          <w:szCs w:val="24"/>
        </w:rPr>
        <w:t>Com isso, há um esforço generalizado de educar a população e inculcar formas de vida baseadas em princípios morais, higiênicos e patrióticos – vindos da Europa e dos Estados Unidos, repita-se –, para isso deveriam ser utilizados todos os meios educativos disponíveis. Assim, o pensamento educacional que circulava pelos meios sociais – em palestras, conferências, teses acadêmicas, livros, jornais, programas de rádio, propagandas, etc. – buscava apoio e coerência nesses princípios – enunciados por médicos, juristas, autoridades políticas, intelectuais e jornalistas, todos eles imbuídos da função de educadores da população.</w:t>
      </w:r>
    </w:p>
    <w:p w14:paraId="7CDE5044" w14:textId="77777777" w:rsidR="00076C09" w:rsidRPr="00076C09" w:rsidRDefault="00076C09" w:rsidP="00076C09">
      <w:pPr>
        <w:spacing w:after="0" w:line="360" w:lineRule="auto"/>
        <w:ind w:firstLine="709"/>
        <w:jc w:val="both"/>
        <w:rPr>
          <w:rFonts w:ascii="Times New Roman" w:hAnsi="Times New Roman"/>
          <w:sz w:val="24"/>
          <w:szCs w:val="24"/>
        </w:rPr>
      </w:pPr>
      <w:r w:rsidRPr="00076C09">
        <w:rPr>
          <w:rFonts w:ascii="Times New Roman" w:hAnsi="Times New Roman"/>
          <w:sz w:val="24"/>
          <w:szCs w:val="24"/>
        </w:rPr>
        <w:t xml:space="preserve">Nesse contexto, é fundamental destacar a presença do discurso higienista por meio de propostas </w:t>
      </w:r>
      <w:proofErr w:type="spellStart"/>
      <w:r w:rsidRPr="00076C09">
        <w:rPr>
          <w:rFonts w:ascii="Times New Roman" w:hAnsi="Times New Roman"/>
          <w:sz w:val="24"/>
          <w:szCs w:val="24"/>
        </w:rPr>
        <w:t>biopolíticas</w:t>
      </w:r>
      <w:proofErr w:type="spellEnd"/>
      <w:r w:rsidRPr="00076C09">
        <w:rPr>
          <w:rFonts w:ascii="Times New Roman" w:hAnsi="Times New Roman"/>
          <w:sz w:val="24"/>
          <w:szCs w:val="24"/>
        </w:rPr>
        <w:t xml:space="preserve">, quais sejam: ações voltadas para o bem “viver” e o “como viver” do indivíduo e da população. Esses discursos contêm efeitos de verdade permeados por relações de poder ao descrever as ações que deveriam ser empreendidas e quais os profissionais seriam adequados para executá-las. O interesse pela saúde da população é evidenciado por meio de propostas como: criação de centros de estudos e pesquisas para o tratamento e profilaxia de doenças; inspeção e fiscalização pela polícia sanitária de casas, logradouros públicos, gêneros alimentícios, produtos biológicos, profissões; inspeção médica (leia-se controle) da população de imigrantes e outras </w:t>
      </w:r>
      <w:r w:rsidRPr="00076C09">
        <w:rPr>
          <w:rFonts w:ascii="Times New Roman" w:hAnsi="Times New Roman"/>
          <w:sz w:val="24"/>
          <w:szCs w:val="24"/>
        </w:rPr>
        <w:lastRenderedPageBreak/>
        <w:t>medidas de vigilância; organização de estatísticas; combate a epidemias; propaganda e educação sanitária; repressão ao curandeirismo; e, também, punição para funcionários que negligenciarem na relação dos óbitos, casamentos e nascimentos.</w:t>
      </w:r>
    </w:p>
    <w:p w14:paraId="77BA40FA" w14:textId="77777777" w:rsidR="00076C09" w:rsidRPr="00076C09" w:rsidRDefault="00076C09" w:rsidP="00076C09">
      <w:pPr>
        <w:spacing w:after="0" w:line="360" w:lineRule="auto"/>
        <w:ind w:firstLine="709"/>
        <w:jc w:val="both"/>
        <w:rPr>
          <w:rFonts w:ascii="Times New Roman" w:hAnsi="Times New Roman"/>
          <w:sz w:val="24"/>
          <w:szCs w:val="24"/>
        </w:rPr>
      </w:pPr>
      <w:r w:rsidRPr="00076C09">
        <w:rPr>
          <w:rFonts w:ascii="Times New Roman" w:hAnsi="Times New Roman"/>
          <w:sz w:val="24"/>
          <w:szCs w:val="24"/>
        </w:rPr>
        <w:t xml:space="preserve">A manifestação do </w:t>
      </w:r>
      <w:proofErr w:type="spellStart"/>
      <w:r w:rsidRPr="00076C09">
        <w:rPr>
          <w:rFonts w:ascii="Times New Roman" w:hAnsi="Times New Roman"/>
          <w:sz w:val="24"/>
          <w:szCs w:val="24"/>
        </w:rPr>
        <w:t>higienismo</w:t>
      </w:r>
      <w:proofErr w:type="spellEnd"/>
      <w:r w:rsidRPr="00076C09">
        <w:rPr>
          <w:rFonts w:ascii="Times New Roman" w:hAnsi="Times New Roman"/>
          <w:sz w:val="24"/>
          <w:szCs w:val="24"/>
        </w:rPr>
        <w:t xml:space="preserve"> como um ramo da medicina se nota com muita visibilidade na sociedade europeia a partir de meados do século XIX – em seguida, essa manifestação chega ao Brasil. Nos cursos de medicina em nosso país, desde 1840 são defendidas teses pelos médicos em seus trabalhos de conclusão do curso que propõem desde a seleção de locais e modos para construir escolas, passando pelas medidas para a disposição das salas de aula, até os exercícios físicos para robustecer o corpo e restabelecer a saúde do aluno (GONDRA, 2004). A partir do início do século XX são propostas medidas mais efetivas para a educação: exames e testes das condições sanitárias, tanto biológicas quanto psíquicas dos alunos. Nesse percurso pela educação, os médicos, principalmente, mas não com exclusividade – pois também havia advogados, engenheiros e professores no contexto –, produziram discursos que se ordenaram na perspectiva da “ortopedia social” (FOUCAULT, 2009, 86).</w:t>
      </w:r>
    </w:p>
    <w:p w14:paraId="3F5BB5D3" w14:textId="77777777" w:rsidR="00076C09" w:rsidRPr="00076C09" w:rsidRDefault="00076C09" w:rsidP="00076C09">
      <w:pPr>
        <w:tabs>
          <w:tab w:val="left" w:pos="0"/>
        </w:tabs>
        <w:spacing w:after="0" w:line="360" w:lineRule="auto"/>
        <w:ind w:firstLine="709"/>
        <w:jc w:val="both"/>
        <w:rPr>
          <w:rFonts w:ascii="Times New Roman" w:hAnsi="Times New Roman"/>
          <w:sz w:val="24"/>
          <w:szCs w:val="24"/>
        </w:rPr>
      </w:pPr>
      <w:r w:rsidRPr="00076C09">
        <w:rPr>
          <w:rFonts w:ascii="Times New Roman" w:hAnsi="Times New Roman"/>
          <w:sz w:val="24"/>
          <w:szCs w:val="24"/>
        </w:rPr>
        <w:t>A expectativa encontrada em grande parte dos discursos educacionais da primeira metade do século XX é a de estabelecer um programa educacional apoiado em princípios morais</w:t>
      </w:r>
      <w:r w:rsidRPr="00076C09">
        <w:rPr>
          <w:rStyle w:val="FootnoteReference"/>
          <w:rFonts w:ascii="Times New Roman" w:hAnsi="Times New Roman"/>
          <w:sz w:val="24"/>
          <w:szCs w:val="24"/>
        </w:rPr>
        <w:footnoteReference w:id="3"/>
      </w:r>
      <w:r w:rsidRPr="00076C09">
        <w:rPr>
          <w:rFonts w:ascii="Times New Roman" w:hAnsi="Times New Roman"/>
          <w:sz w:val="24"/>
          <w:szCs w:val="24"/>
        </w:rPr>
        <w:t xml:space="preserve"> para incluir os desviantes, ou seja, o próprio povo brasileiro que representa uma ameaça em potencial para o (bom) andamento da sociedade.</w:t>
      </w:r>
    </w:p>
    <w:p w14:paraId="3C5B34FF" w14:textId="77777777" w:rsidR="00076C09" w:rsidRPr="00076C09" w:rsidRDefault="00076C09" w:rsidP="00076C09">
      <w:pPr>
        <w:tabs>
          <w:tab w:val="left" w:pos="0"/>
        </w:tabs>
        <w:spacing w:after="0" w:line="360" w:lineRule="auto"/>
        <w:ind w:firstLine="709"/>
        <w:jc w:val="both"/>
        <w:rPr>
          <w:rFonts w:ascii="Times New Roman" w:hAnsi="Times New Roman"/>
          <w:sz w:val="24"/>
          <w:szCs w:val="24"/>
        </w:rPr>
      </w:pPr>
      <w:r w:rsidRPr="00076C09">
        <w:rPr>
          <w:rFonts w:ascii="Times New Roman" w:hAnsi="Times New Roman"/>
          <w:sz w:val="24"/>
          <w:szCs w:val="24"/>
        </w:rPr>
        <w:t xml:space="preserve">O </w:t>
      </w:r>
      <w:proofErr w:type="spellStart"/>
      <w:r w:rsidRPr="00076C09">
        <w:rPr>
          <w:rFonts w:ascii="Times New Roman" w:hAnsi="Times New Roman"/>
          <w:sz w:val="24"/>
          <w:szCs w:val="24"/>
        </w:rPr>
        <w:t>higienismo</w:t>
      </w:r>
      <w:proofErr w:type="spellEnd"/>
      <w:r w:rsidRPr="00076C09">
        <w:rPr>
          <w:rFonts w:ascii="Times New Roman" w:hAnsi="Times New Roman"/>
          <w:sz w:val="24"/>
          <w:szCs w:val="24"/>
        </w:rPr>
        <w:t xml:space="preserve"> é um componente fundamental dessa configuração por trazer os princípios médicos que devem ser seguidos e obedecidos fielmente, posto que a medicina produz um efeito de verdade em seu discurso supostamente provado e demonstrável pela sua argumentação científica. O </w:t>
      </w:r>
      <w:proofErr w:type="spellStart"/>
      <w:r w:rsidRPr="00076C09">
        <w:rPr>
          <w:rFonts w:ascii="Times New Roman" w:hAnsi="Times New Roman"/>
          <w:sz w:val="24"/>
          <w:szCs w:val="24"/>
        </w:rPr>
        <w:t>higienismo</w:t>
      </w:r>
      <w:proofErr w:type="spellEnd"/>
      <w:r w:rsidRPr="00076C09">
        <w:rPr>
          <w:rFonts w:ascii="Times New Roman" w:hAnsi="Times New Roman"/>
          <w:sz w:val="24"/>
          <w:szCs w:val="24"/>
        </w:rPr>
        <w:t xml:space="preserve"> é um movimento de profilaxia da anormalidade, assim como é um referencial para estabelecer o nível de desvio da conduta normal (e moral, também!) e ainda verificar os casos passíveis de educação e os casos perdidos (que precisam sem separados, ou seja, incluídos e tratados nas categorias dos anormais desviantes). </w:t>
      </w:r>
    </w:p>
    <w:p w14:paraId="120CF035" w14:textId="77777777" w:rsidR="00076C09" w:rsidRPr="00076C09" w:rsidRDefault="00076C09" w:rsidP="00076C09">
      <w:pPr>
        <w:tabs>
          <w:tab w:val="left" w:pos="0"/>
        </w:tabs>
        <w:spacing w:after="0" w:line="360" w:lineRule="auto"/>
        <w:ind w:firstLine="709"/>
        <w:jc w:val="both"/>
        <w:rPr>
          <w:rFonts w:ascii="Times New Roman" w:hAnsi="Times New Roman"/>
          <w:sz w:val="24"/>
          <w:szCs w:val="24"/>
        </w:rPr>
      </w:pPr>
      <w:r w:rsidRPr="00076C09">
        <w:rPr>
          <w:rFonts w:ascii="Times New Roman" w:hAnsi="Times New Roman"/>
          <w:sz w:val="24"/>
          <w:szCs w:val="24"/>
        </w:rPr>
        <w:lastRenderedPageBreak/>
        <w:t xml:space="preserve">Pode-se inferir que o </w:t>
      </w:r>
      <w:proofErr w:type="spellStart"/>
      <w:r w:rsidRPr="00076C09">
        <w:rPr>
          <w:rFonts w:ascii="Times New Roman" w:hAnsi="Times New Roman"/>
          <w:sz w:val="24"/>
          <w:szCs w:val="24"/>
        </w:rPr>
        <w:t>higienismo</w:t>
      </w:r>
      <w:proofErr w:type="spellEnd"/>
      <w:r w:rsidRPr="00076C09">
        <w:rPr>
          <w:rFonts w:ascii="Times New Roman" w:hAnsi="Times New Roman"/>
          <w:sz w:val="24"/>
          <w:szCs w:val="24"/>
        </w:rPr>
        <w:t xml:space="preserve"> na educação é uma derivação dos princípios legais (jurídicos, obviamente, mas médicos também),</w:t>
      </w:r>
      <w:r w:rsidRPr="00076C09">
        <w:rPr>
          <w:rStyle w:val="FootnoteReference"/>
          <w:rFonts w:ascii="Times New Roman" w:hAnsi="Times New Roman"/>
          <w:sz w:val="24"/>
          <w:szCs w:val="24"/>
        </w:rPr>
        <w:footnoteReference w:id="4"/>
      </w:r>
      <w:r w:rsidRPr="00076C09">
        <w:rPr>
          <w:rFonts w:ascii="Times New Roman" w:hAnsi="Times New Roman"/>
          <w:sz w:val="24"/>
          <w:szCs w:val="24"/>
        </w:rPr>
        <w:t xml:space="preserve"> e por serem médicos são princípios científicos que têm por meta explícita elevar a qualidade cívica da sociedade, mas que trazem nas entrelinhas dos discursos produzidos um viés autoritário e preconceituoso.</w:t>
      </w:r>
    </w:p>
    <w:p w14:paraId="1567E55E" w14:textId="77777777" w:rsidR="00076C09" w:rsidRPr="00076C09" w:rsidRDefault="00076C09" w:rsidP="00076C09">
      <w:pPr>
        <w:tabs>
          <w:tab w:val="left" w:pos="0"/>
        </w:tabs>
        <w:spacing w:after="0" w:line="360" w:lineRule="auto"/>
        <w:ind w:firstLine="709"/>
        <w:jc w:val="both"/>
        <w:rPr>
          <w:rFonts w:ascii="Times New Roman" w:hAnsi="Times New Roman"/>
          <w:sz w:val="24"/>
          <w:szCs w:val="24"/>
        </w:rPr>
      </w:pPr>
      <w:r w:rsidRPr="00076C09">
        <w:rPr>
          <w:rFonts w:ascii="Times New Roman" w:hAnsi="Times New Roman"/>
          <w:sz w:val="24"/>
          <w:szCs w:val="24"/>
        </w:rPr>
        <w:t>É possível ler nas entrelinhas dos discursos produzidos pelos higienistas na (e para a) educação uma intenção salvacionista, uma expectativa de que a educação (desde que cientificamente embasada e planejada – repita-se mais uma vez e exaustivamente que a ciência dominante na época é aquela produzida pelo saber médico) possa sanar os males da sociedade.</w:t>
      </w:r>
    </w:p>
    <w:p w14:paraId="4DD6FEE5" w14:textId="77777777" w:rsidR="00076C09" w:rsidRPr="00076C09" w:rsidRDefault="00076C09" w:rsidP="00076C09">
      <w:pPr>
        <w:spacing w:after="0" w:line="360" w:lineRule="auto"/>
        <w:ind w:firstLine="709"/>
        <w:jc w:val="both"/>
        <w:rPr>
          <w:rFonts w:ascii="Times New Roman" w:hAnsi="Times New Roman"/>
          <w:sz w:val="24"/>
          <w:szCs w:val="24"/>
        </w:rPr>
      </w:pPr>
      <w:r w:rsidRPr="00076C09">
        <w:rPr>
          <w:rFonts w:ascii="Times New Roman" w:hAnsi="Times New Roman"/>
          <w:sz w:val="24"/>
          <w:szCs w:val="24"/>
        </w:rPr>
        <w:t>Não há como negar uma intenção dogmática e até religiosa nas ações dos higienistas.</w:t>
      </w:r>
      <w:r w:rsidRPr="00076C09">
        <w:rPr>
          <w:rStyle w:val="FootnoteReference"/>
          <w:rFonts w:ascii="Times New Roman" w:hAnsi="Times New Roman"/>
          <w:sz w:val="24"/>
          <w:szCs w:val="24"/>
        </w:rPr>
        <w:footnoteReference w:id="5"/>
      </w:r>
      <w:r w:rsidRPr="00076C09">
        <w:rPr>
          <w:rFonts w:ascii="Times New Roman" w:hAnsi="Times New Roman"/>
          <w:sz w:val="24"/>
          <w:szCs w:val="24"/>
        </w:rPr>
        <w:t xml:space="preserve"> Os discursos que produzem repercutem e reverberam em diferentes contextos sociais e políticos. O efeito de verdade (médica) é capaz de convencer muitos e suspender divergências de classes e visões de mundo: capitalistas, comunistas, católicos, protestantes, positivistas, ateus... Há representantes de todas as crenças e categorias sociais no “exército” dos salvacionistas que querem o respeito à lei, à ordem e ao progresso em nome de uma sociedade justa e equilibrada, na qual cada um assume seu papel para o bem comum.</w:t>
      </w:r>
    </w:p>
    <w:p w14:paraId="4BFD766D" w14:textId="77777777" w:rsidR="00076C09" w:rsidRPr="00076C09" w:rsidRDefault="00076C09" w:rsidP="00076C09">
      <w:pPr>
        <w:spacing w:after="0" w:line="360" w:lineRule="auto"/>
        <w:ind w:firstLine="709"/>
        <w:jc w:val="both"/>
        <w:rPr>
          <w:rFonts w:ascii="Times New Roman" w:hAnsi="Times New Roman"/>
          <w:sz w:val="24"/>
          <w:szCs w:val="24"/>
        </w:rPr>
      </w:pPr>
      <w:r w:rsidRPr="00076C09">
        <w:rPr>
          <w:rFonts w:ascii="Times New Roman" w:hAnsi="Times New Roman"/>
          <w:sz w:val="24"/>
          <w:szCs w:val="24"/>
        </w:rPr>
        <w:t xml:space="preserve">O recorte temporal delimitado na primeira metade do século XX é, na verdade, um marco, uma referência, que não implica em ficar preso a datas e divisões consagradas na historiografia convencional. É possível estender a passagem dessa constituição para as duas ou três décadas finais do século XX, vislumbrando os percursos educativos do final do império e início da república. Pesquisas recentes apontam para um movimento de diversas formas de educação e de processos múltiplos de socialização de indivíduos e grupos sociais atuantes no século XIX que, além das iniciativas governamentais e das elites, também recebeu contribuições de “indivíduos oriundos das classes populares, brancos livres, indígenas, escravos, forros e a população </w:t>
      </w:r>
      <w:r w:rsidRPr="00076C09">
        <w:rPr>
          <w:rFonts w:ascii="Times New Roman" w:hAnsi="Times New Roman"/>
          <w:sz w:val="24"/>
          <w:szCs w:val="24"/>
        </w:rPr>
        <w:lastRenderedPageBreak/>
        <w:t>mestiça” para “inventar e produzir a escola como um lugar próprio, específico, destinado à educação de crianças e jovens” (GONDRA; SCHUELER, 2008, p. 20). Esses processos educativos do século XIX, também passam por questões higienistas e morais.</w:t>
      </w:r>
    </w:p>
    <w:p w14:paraId="55B50844" w14:textId="77777777" w:rsidR="00076C09" w:rsidRPr="00076C09" w:rsidRDefault="00076C09" w:rsidP="00076C09">
      <w:pPr>
        <w:spacing w:after="0" w:line="360" w:lineRule="auto"/>
        <w:ind w:firstLine="709"/>
        <w:jc w:val="both"/>
        <w:rPr>
          <w:rFonts w:ascii="Times New Roman" w:hAnsi="Times New Roman"/>
          <w:sz w:val="24"/>
          <w:szCs w:val="24"/>
        </w:rPr>
      </w:pPr>
      <w:r w:rsidRPr="00076C09">
        <w:rPr>
          <w:rFonts w:ascii="Times New Roman" w:hAnsi="Times New Roman"/>
          <w:sz w:val="24"/>
          <w:szCs w:val="24"/>
        </w:rPr>
        <w:t>Para não alongar indefinidamente o recorte temporal proposto para esta pesquisa, o marco para seu término está situado por volta de 1947, início da redemocratização do País. Naquele momento, a educação brasileira vivenciou um longo período de embates entre projetos e ideias até a criação da primeira lei de diretrizes e bases. O período de 1947 a 1961 – principalmente por suas características político-pedagógicas – merece uma atenção especial que se encontra fora dos propósitos deste trabalho. Nessa época, os conceitos higienistas e seus correlatos já não aparecem de forma tão explícita, nem com a mesma frequência nos documentos educacionais. No entanto, é preciso ressalvar que ideias e concepções higienistas e morais estiveram (como ainda estão hoje) presentes em inúmeros projetos e propostas educacionais e pedagógicas depois de 1947.</w:t>
      </w:r>
    </w:p>
    <w:p w14:paraId="1D0AFC49" w14:textId="77777777" w:rsidR="00076C09" w:rsidRPr="00076C09" w:rsidRDefault="00076C09" w:rsidP="00076C09">
      <w:pPr>
        <w:spacing w:after="0" w:line="360" w:lineRule="auto"/>
        <w:ind w:firstLine="709"/>
        <w:jc w:val="both"/>
        <w:rPr>
          <w:rFonts w:ascii="Times New Roman" w:hAnsi="Times New Roman"/>
          <w:sz w:val="24"/>
          <w:szCs w:val="24"/>
        </w:rPr>
      </w:pPr>
      <w:r w:rsidRPr="00076C09">
        <w:rPr>
          <w:rFonts w:ascii="Times New Roman" w:hAnsi="Times New Roman"/>
          <w:sz w:val="24"/>
          <w:szCs w:val="24"/>
        </w:rPr>
        <w:t xml:space="preserve">Com o entendimento de que não há um conceito uno e inequívoco sobre o </w:t>
      </w:r>
      <w:proofErr w:type="spellStart"/>
      <w:r w:rsidRPr="00076C09">
        <w:rPr>
          <w:rFonts w:ascii="Times New Roman" w:hAnsi="Times New Roman"/>
          <w:sz w:val="24"/>
          <w:szCs w:val="24"/>
        </w:rPr>
        <w:t>higienismo</w:t>
      </w:r>
      <w:proofErr w:type="spellEnd"/>
      <w:r w:rsidRPr="00076C09">
        <w:rPr>
          <w:rFonts w:ascii="Times New Roman" w:hAnsi="Times New Roman"/>
          <w:sz w:val="24"/>
          <w:szCs w:val="24"/>
        </w:rPr>
        <w:t>, mas que a partir de sua composição heteróclita é possível analisar sua diversidade de concepções de valores e visões de mundo, a pesquisa se ancora em uma perspectiva tanto metodológica quanto epistemológica na obra de Foucault, da qual foram escolhidos textos mais pertinentes ao propósito deste trabalho. E por que trabalhar com Foucault?</w:t>
      </w:r>
    </w:p>
    <w:p w14:paraId="497D3F5B" w14:textId="77777777" w:rsidR="00076C09" w:rsidRPr="00076C09" w:rsidRDefault="00076C09" w:rsidP="00076C09">
      <w:pPr>
        <w:tabs>
          <w:tab w:val="left" w:pos="0"/>
        </w:tabs>
        <w:spacing w:after="0" w:line="360" w:lineRule="auto"/>
        <w:ind w:firstLine="709"/>
        <w:jc w:val="both"/>
        <w:rPr>
          <w:rFonts w:ascii="Times New Roman" w:hAnsi="Times New Roman"/>
          <w:sz w:val="24"/>
          <w:szCs w:val="24"/>
        </w:rPr>
      </w:pPr>
      <w:r w:rsidRPr="00076C09">
        <w:rPr>
          <w:rFonts w:ascii="Times New Roman" w:hAnsi="Times New Roman"/>
          <w:sz w:val="24"/>
          <w:szCs w:val="24"/>
        </w:rPr>
        <w:t xml:space="preserve">Sem se alongar mais na justificativa da importância das contribuições do pensador francês, é preciso destacar nesta apresentação uma das obras mais significativas para a compreensão das relações do </w:t>
      </w:r>
      <w:proofErr w:type="spellStart"/>
      <w:r w:rsidRPr="00076C09">
        <w:rPr>
          <w:rFonts w:ascii="Times New Roman" w:hAnsi="Times New Roman"/>
          <w:sz w:val="24"/>
          <w:szCs w:val="24"/>
        </w:rPr>
        <w:t>higienismo</w:t>
      </w:r>
      <w:proofErr w:type="spellEnd"/>
      <w:r w:rsidRPr="00076C09">
        <w:rPr>
          <w:rFonts w:ascii="Times New Roman" w:hAnsi="Times New Roman"/>
          <w:sz w:val="24"/>
          <w:szCs w:val="24"/>
        </w:rPr>
        <w:t xml:space="preserve"> e da moral na sociedade, como mais um exemplo de sua contribuição metodológica. Trata-se do livro </w:t>
      </w:r>
      <w:r w:rsidRPr="00076C09">
        <w:rPr>
          <w:rFonts w:ascii="Times New Roman" w:hAnsi="Times New Roman"/>
          <w:i/>
          <w:sz w:val="24"/>
          <w:szCs w:val="24"/>
        </w:rPr>
        <w:t>Os anormais</w:t>
      </w:r>
      <w:r w:rsidRPr="00076C09">
        <w:rPr>
          <w:rFonts w:ascii="Times New Roman" w:hAnsi="Times New Roman"/>
          <w:sz w:val="24"/>
          <w:szCs w:val="24"/>
        </w:rPr>
        <w:t>.</w:t>
      </w:r>
    </w:p>
    <w:p w14:paraId="64F460CB" w14:textId="77777777" w:rsidR="00076C09" w:rsidRPr="00076C09" w:rsidRDefault="00076C09" w:rsidP="00076C09">
      <w:pPr>
        <w:tabs>
          <w:tab w:val="left" w:pos="0"/>
        </w:tabs>
        <w:spacing w:after="0" w:line="360" w:lineRule="auto"/>
        <w:ind w:firstLine="709"/>
        <w:jc w:val="both"/>
        <w:rPr>
          <w:rFonts w:ascii="Times New Roman" w:hAnsi="Times New Roman"/>
          <w:sz w:val="24"/>
          <w:szCs w:val="24"/>
        </w:rPr>
      </w:pPr>
      <w:r w:rsidRPr="00076C09">
        <w:rPr>
          <w:rFonts w:ascii="Times New Roman" w:hAnsi="Times New Roman"/>
          <w:sz w:val="24"/>
          <w:szCs w:val="24"/>
        </w:rPr>
        <w:t xml:space="preserve">Foucault, no curso ministrado no </w:t>
      </w:r>
      <w:proofErr w:type="spellStart"/>
      <w:r w:rsidRPr="00076C09">
        <w:rPr>
          <w:rFonts w:ascii="Times New Roman" w:hAnsi="Times New Roman"/>
          <w:i/>
          <w:sz w:val="24"/>
          <w:szCs w:val="24"/>
        </w:rPr>
        <w:t>Collège</w:t>
      </w:r>
      <w:proofErr w:type="spellEnd"/>
      <w:r w:rsidRPr="00076C09">
        <w:rPr>
          <w:rFonts w:ascii="Times New Roman" w:hAnsi="Times New Roman"/>
          <w:i/>
          <w:sz w:val="24"/>
          <w:szCs w:val="24"/>
        </w:rPr>
        <w:t xml:space="preserve"> de France</w:t>
      </w:r>
      <w:r w:rsidRPr="00076C09">
        <w:rPr>
          <w:rFonts w:ascii="Times New Roman" w:hAnsi="Times New Roman"/>
          <w:sz w:val="24"/>
          <w:szCs w:val="24"/>
        </w:rPr>
        <w:t xml:space="preserve"> entre 1974-1975 e publicado no Brasil como livro em 2002, analisa a genealogia do discurso médico – aliás, discurso médico-jurídico – na França em meados do século XIX, em sua pretensão de normalizar a sociedade (FOUCAULT, 2002). Foucault não intenta realizar uma análise institucionalista ou ideológica, mas procura identificar as tecnologias de poder que utiliza esse discurso e tenta fazê-lo funcionar. Nesse sentido, a análise </w:t>
      </w:r>
      <w:proofErr w:type="spellStart"/>
      <w:r w:rsidRPr="00076C09">
        <w:rPr>
          <w:rFonts w:ascii="Times New Roman" w:hAnsi="Times New Roman"/>
          <w:sz w:val="24"/>
          <w:szCs w:val="24"/>
        </w:rPr>
        <w:t>foucaultiana</w:t>
      </w:r>
      <w:proofErr w:type="spellEnd"/>
      <w:r w:rsidRPr="00076C09">
        <w:rPr>
          <w:rFonts w:ascii="Times New Roman" w:hAnsi="Times New Roman"/>
          <w:sz w:val="24"/>
          <w:szCs w:val="24"/>
        </w:rPr>
        <w:t xml:space="preserve"> é fundamental para o trabalho ora desenvolvido, pois não há mesmo uma verdade a ser dissecada no discurso, mas os efeitos da verdade que se produzem no </w:t>
      </w:r>
      <w:r w:rsidRPr="00076C09">
        <w:rPr>
          <w:rFonts w:ascii="Times New Roman" w:hAnsi="Times New Roman"/>
          <w:sz w:val="24"/>
          <w:szCs w:val="24"/>
        </w:rPr>
        <w:lastRenderedPageBreak/>
        <w:t xml:space="preserve">discurso. Em </w:t>
      </w:r>
      <w:r w:rsidRPr="00076C09">
        <w:rPr>
          <w:rFonts w:ascii="Times New Roman" w:hAnsi="Times New Roman"/>
          <w:i/>
          <w:sz w:val="24"/>
          <w:szCs w:val="24"/>
        </w:rPr>
        <w:t>Verdade e poder</w:t>
      </w:r>
      <w:r w:rsidRPr="00076C09">
        <w:rPr>
          <w:rFonts w:ascii="Times New Roman" w:hAnsi="Times New Roman"/>
          <w:sz w:val="24"/>
          <w:szCs w:val="24"/>
        </w:rPr>
        <w:t>,</w:t>
      </w:r>
      <w:r w:rsidRPr="00076C09">
        <w:rPr>
          <w:rStyle w:val="FootnoteReference"/>
          <w:rFonts w:ascii="Times New Roman" w:hAnsi="Times New Roman"/>
          <w:sz w:val="24"/>
          <w:szCs w:val="24"/>
        </w:rPr>
        <w:footnoteReference w:id="6"/>
      </w:r>
      <w:r w:rsidRPr="00076C09">
        <w:rPr>
          <w:rFonts w:ascii="Times New Roman" w:hAnsi="Times New Roman"/>
          <w:sz w:val="24"/>
          <w:szCs w:val="24"/>
        </w:rPr>
        <w:t xml:space="preserve"> ao ser questionado por Alexandre Fontana a respeito dos conceitos de ideologia e repressão, Foucault assim reflete:</w:t>
      </w:r>
    </w:p>
    <w:p w14:paraId="0E324AAE" w14:textId="77777777" w:rsidR="00076C09" w:rsidRPr="00076C09" w:rsidRDefault="00076C09" w:rsidP="00076C09">
      <w:pPr>
        <w:tabs>
          <w:tab w:val="left" w:pos="0"/>
        </w:tabs>
        <w:spacing w:after="0"/>
        <w:ind w:firstLine="709"/>
        <w:jc w:val="both"/>
        <w:rPr>
          <w:rFonts w:ascii="Times New Roman" w:hAnsi="Times New Roman"/>
          <w:sz w:val="24"/>
          <w:szCs w:val="24"/>
        </w:rPr>
      </w:pPr>
    </w:p>
    <w:p w14:paraId="3A679D26" w14:textId="77777777" w:rsidR="00076C09" w:rsidRPr="00076C09" w:rsidRDefault="00076C09" w:rsidP="00076C09">
      <w:pPr>
        <w:tabs>
          <w:tab w:val="left" w:pos="2340"/>
        </w:tabs>
        <w:spacing w:after="0" w:line="240" w:lineRule="auto"/>
        <w:ind w:left="2268"/>
        <w:jc w:val="both"/>
        <w:rPr>
          <w:rFonts w:ascii="Times New Roman" w:hAnsi="Times New Roman"/>
          <w:sz w:val="20"/>
          <w:szCs w:val="20"/>
        </w:rPr>
      </w:pPr>
      <w:r w:rsidRPr="00076C09">
        <w:rPr>
          <w:rFonts w:ascii="Times New Roman" w:hAnsi="Times New Roman"/>
          <w:sz w:val="20"/>
          <w:szCs w:val="20"/>
        </w:rPr>
        <w:t>A noção de ideologia me parece dificilmente utilizável por três razões. A primeira é que, queira-se ou não, ela está sempre em oposição virtual a alguma coisa que seria a verdade. Ora, creio que o problema não é o de se fazer a partilha entre o que num discurso releva da cientificidade e da verdade e o que relevaria de outra coisa; mas de ver historicamente como se produzem efeitos de verdade no interior de discursos que não são em si nem verdadeiros nem falsos. Segundo inconveniente: refere-se necessariamente a alguma coisa como o sujeito. Enfim, a ideologia está em posição secundária com relação a alguma coisa que deve funcionar para ela como infra-estrutura ou determinação econômica, material, etc. Por estas três razões creio que é uma noção que não deve ser utilizada sem precauções. (FOUCAULT, 1979, p. 7)</w:t>
      </w:r>
    </w:p>
    <w:p w14:paraId="34048D87" w14:textId="77777777" w:rsidR="00076C09" w:rsidRPr="00076C09" w:rsidRDefault="00076C09" w:rsidP="00076C09">
      <w:pPr>
        <w:tabs>
          <w:tab w:val="left" w:pos="2340"/>
        </w:tabs>
        <w:spacing w:after="0"/>
        <w:ind w:firstLine="709"/>
        <w:jc w:val="both"/>
        <w:rPr>
          <w:rFonts w:ascii="Times New Roman" w:hAnsi="Times New Roman"/>
          <w:sz w:val="24"/>
          <w:szCs w:val="24"/>
        </w:rPr>
      </w:pPr>
    </w:p>
    <w:p w14:paraId="2DB63BE7" w14:textId="77777777" w:rsidR="00076C09" w:rsidRPr="00076C09" w:rsidRDefault="00076C09" w:rsidP="00076C09">
      <w:pPr>
        <w:tabs>
          <w:tab w:val="left" w:pos="0"/>
        </w:tabs>
        <w:spacing w:after="0" w:line="360" w:lineRule="auto"/>
        <w:ind w:firstLine="709"/>
        <w:jc w:val="both"/>
        <w:rPr>
          <w:rFonts w:ascii="Times New Roman" w:hAnsi="Times New Roman"/>
          <w:sz w:val="24"/>
          <w:szCs w:val="24"/>
        </w:rPr>
      </w:pPr>
      <w:r w:rsidRPr="00076C09">
        <w:rPr>
          <w:rFonts w:ascii="Times New Roman" w:hAnsi="Times New Roman"/>
          <w:sz w:val="24"/>
          <w:szCs w:val="24"/>
        </w:rPr>
        <w:t xml:space="preserve">Por meio da leitura de </w:t>
      </w:r>
      <w:r w:rsidRPr="00076C09">
        <w:rPr>
          <w:rFonts w:ascii="Times New Roman" w:hAnsi="Times New Roman"/>
          <w:i/>
          <w:sz w:val="24"/>
          <w:szCs w:val="24"/>
        </w:rPr>
        <w:t>Os Anormais</w:t>
      </w:r>
      <w:r w:rsidRPr="00076C09">
        <w:rPr>
          <w:rFonts w:ascii="Times New Roman" w:hAnsi="Times New Roman"/>
          <w:sz w:val="24"/>
          <w:szCs w:val="24"/>
        </w:rPr>
        <w:t xml:space="preserve"> é possível estabelecer uma hipótese inicial para a presença do </w:t>
      </w:r>
      <w:proofErr w:type="spellStart"/>
      <w:r w:rsidRPr="00076C09">
        <w:rPr>
          <w:rFonts w:ascii="Times New Roman" w:hAnsi="Times New Roman"/>
          <w:sz w:val="24"/>
          <w:szCs w:val="24"/>
        </w:rPr>
        <w:t>higienismo</w:t>
      </w:r>
      <w:proofErr w:type="spellEnd"/>
      <w:r w:rsidRPr="00076C09">
        <w:rPr>
          <w:rFonts w:ascii="Times New Roman" w:hAnsi="Times New Roman"/>
          <w:sz w:val="24"/>
          <w:szCs w:val="24"/>
        </w:rPr>
        <w:t xml:space="preserve"> na educação. A genealogia do interesse por esse modo de encarar o </w:t>
      </w:r>
      <w:proofErr w:type="spellStart"/>
      <w:r w:rsidRPr="00076C09">
        <w:rPr>
          <w:rFonts w:ascii="Times New Roman" w:hAnsi="Times New Roman"/>
          <w:sz w:val="24"/>
          <w:szCs w:val="24"/>
        </w:rPr>
        <w:t>higienismo</w:t>
      </w:r>
      <w:proofErr w:type="spellEnd"/>
      <w:r w:rsidRPr="00076C09">
        <w:rPr>
          <w:rFonts w:ascii="Times New Roman" w:hAnsi="Times New Roman"/>
          <w:sz w:val="24"/>
          <w:szCs w:val="24"/>
        </w:rPr>
        <w:t xml:space="preserve"> pode estar na preocupação legal com o equilíbrio da sociedade e com os investimentos para que isso seja alcançado; ou seja, é uma preocupação com a economia legal</w:t>
      </w:r>
      <w:r w:rsidRPr="00076C09">
        <w:rPr>
          <w:rStyle w:val="FootnoteReference"/>
          <w:rFonts w:ascii="Times New Roman" w:hAnsi="Times New Roman"/>
          <w:sz w:val="24"/>
          <w:szCs w:val="24"/>
        </w:rPr>
        <w:footnoteReference w:id="7"/>
      </w:r>
      <w:r w:rsidRPr="00076C09">
        <w:rPr>
          <w:rFonts w:ascii="Times New Roman" w:hAnsi="Times New Roman"/>
          <w:sz w:val="24"/>
          <w:szCs w:val="24"/>
        </w:rPr>
        <w:t xml:space="preserve"> para o (“bom”) funcionamento da sociedade.</w:t>
      </w:r>
      <w:r w:rsidRPr="00076C09">
        <w:rPr>
          <w:rStyle w:val="FootnoteReference"/>
          <w:rFonts w:ascii="Times New Roman" w:hAnsi="Times New Roman"/>
          <w:sz w:val="24"/>
          <w:szCs w:val="24"/>
        </w:rPr>
        <w:footnoteReference w:id="8"/>
      </w:r>
      <w:r w:rsidRPr="00076C09">
        <w:rPr>
          <w:rFonts w:ascii="Times New Roman" w:hAnsi="Times New Roman"/>
          <w:b/>
          <w:sz w:val="24"/>
          <w:szCs w:val="24"/>
        </w:rPr>
        <w:t xml:space="preserve"> </w:t>
      </w:r>
      <w:r w:rsidRPr="00076C09">
        <w:rPr>
          <w:rFonts w:ascii="Times New Roman" w:hAnsi="Times New Roman"/>
          <w:sz w:val="24"/>
          <w:szCs w:val="24"/>
        </w:rPr>
        <w:t>Nesse contexto de busca de equilíbrio, é preciso que a sociedade se organize em harmonia e num clima de respeito à ordem. Que harmonia e ordem são essas? Aquelas que atendam ao interesse dos que constituíram o poder vigente e do qual fazem parte médicos e juristas. Nesse contexto histórico há necessidade da união de esforços do saber médico – que institui os conceitos que devem pautar o comportamento dos indivíduos – com o aparato jurídico, suporte do apoio legal para realizar a vigência dos parâmetros almejados (na verdade idealizados) pelo saber médico.</w:t>
      </w:r>
    </w:p>
    <w:p w14:paraId="4324C7D0" w14:textId="77777777" w:rsidR="00076C09" w:rsidRPr="00076C09" w:rsidRDefault="00076C09" w:rsidP="00076C09">
      <w:pPr>
        <w:tabs>
          <w:tab w:val="left" w:pos="0"/>
        </w:tabs>
        <w:spacing w:after="0" w:line="360" w:lineRule="auto"/>
        <w:ind w:firstLine="709"/>
        <w:jc w:val="both"/>
        <w:rPr>
          <w:rFonts w:ascii="Times New Roman" w:hAnsi="Times New Roman"/>
          <w:sz w:val="24"/>
          <w:szCs w:val="24"/>
        </w:rPr>
      </w:pPr>
      <w:r w:rsidRPr="00076C09">
        <w:rPr>
          <w:rFonts w:ascii="Times New Roman" w:hAnsi="Times New Roman"/>
          <w:sz w:val="24"/>
          <w:szCs w:val="24"/>
        </w:rPr>
        <w:t xml:space="preserve">Assim, são estabelecidas tecnologias de poder, e Foucault (2002) explicita que são tecnologias “positivas” de poder (p. 59); qual sejam, aquelas ações efetivas pautadas pelas instâncias político-administrativas visando à produção de comportamentos tanto individuais quanto sociais. Para isso, as tecnologias de poder se valem da produção e difusão de normas e procedimentos visíveis e palpáveis em sua natureza operativa, em </w:t>
      </w:r>
      <w:r w:rsidRPr="00076C09">
        <w:rPr>
          <w:rFonts w:ascii="Times New Roman" w:hAnsi="Times New Roman"/>
          <w:sz w:val="24"/>
          <w:szCs w:val="24"/>
        </w:rPr>
        <w:lastRenderedPageBreak/>
        <w:t>que o controle ideológico não é o mais importante a analisar, pois a repressão “só figura a título de efeito colateral e secundário” (p. 64). O que Foucault apresenta aqui é um novo modelo de tratamento que não se faz simplesmente pela exclusão.</w:t>
      </w:r>
      <w:r w:rsidRPr="00076C09">
        <w:rPr>
          <w:rStyle w:val="FootnoteReference"/>
          <w:rFonts w:ascii="Times New Roman" w:hAnsi="Times New Roman"/>
          <w:sz w:val="24"/>
          <w:szCs w:val="24"/>
        </w:rPr>
        <w:footnoteReference w:id="9"/>
      </w:r>
      <w:r w:rsidRPr="00076C09">
        <w:rPr>
          <w:rFonts w:ascii="Times New Roman" w:hAnsi="Times New Roman"/>
          <w:sz w:val="24"/>
          <w:szCs w:val="24"/>
        </w:rPr>
        <w:t xml:space="preserve"> Volta-se agora para o modelo proposto e efetivamente adotado na Idade Média para os pestilentos. É um modelo de </w:t>
      </w:r>
      <w:r w:rsidRPr="00076C09">
        <w:rPr>
          <w:rFonts w:ascii="Times New Roman" w:hAnsi="Times New Roman"/>
          <w:i/>
          <w:sz w:val="24"/>
          <w:szCs w:val="24"/>
        </w:rPr>
        <w:t>inclusão</w:t>
      </w:r>
      <w:r w:rsidRPr="00076C09">
        <w:rPr>
          <w:rFonts w:ascii="Times New Roman" w:hAnsi="Times New Roman"/>
          <w:sz w:val="24"/>
          <w:szCs w:val="24"/>
        </w:rPr>
        <w:t xml:space="preserve">, cujo método se define pela “observação próxima e meticulosa [...] e implica uma espécie de aproximação cada vez mais sutil do </w:t>
      </w:r>
      <w:r w:rsidRPr="00076C09">
        <w:rPr>
          <w:rFonts w:ascii="Times New Roman" w:hAnsi="Times New Roman"/>
          <w:i/>
          <w:sz w:val="24"/>
          <w:szCs w:val="24"/>
        </w:rPr>
        <w:t>poder</w:t>
      </w:r>
      <w:r w:rsidRPr="00076C09">
        <w:rPr>
          <w:rFonts w:ascii="Times New Roman" w:hAnsi="Times New Roman"/>
          <w:sz w:val="24"/>
          <w:szCs w:val="24"/>
        </w:rPr>
        <w:t xml:space="preserve"> aos indivíduos” (p. 58, grifo meu). Nessa concepção </w:t>
      </w:r>
      <w:proofErr w:type="spellStart"/>
      <w:r w:rsidRPr="00076C09">
        <w:rPr>
          <w:rFonts w:ascii="Times New Roman" w:hAnsi="Times New Roman"/>
          <w:sz w:val="24"/>
          <w:szCs w:val="24"/>
        </w:rPr>
        <w:t>foucaultiana</w:t>
      </w:r>
      <w:proofErr w:type="spellEnd"/>
      <w:r w:rsidRPr="00076C09">
        <w:rPr>
          <w:rFonts w:ascii="Times New Roman" w:hAnsi="Times New Roman"/>
          <w:sz w:val="24"/>
          <w:szCs w:val="24"/>
        </w:rPr>
        <w:t>, o poder não requer uma análise ideológica, posto que está “integrado no jogo, na distribuição, na dinâmica, nas estratégias, na eficácia das forças” (p. 65); ou seja, o poder não está mais afastado do cotidiano, mas integrado vivamente nas práticas sociais.</w:t>
      </w:r>
    </w:p>
    <w:p w14:paraId="7512478F" w14:textId="77777777" w:rsidR="00076C09" w:rsidRPr="00076C09" w:rsidRDefault="00076C09" w:rsidP="00076C09">
      <w:pPr>
        <w:tabs>
          <w:tab w:val="left" w:pos="0"/>
        </w:tabs>
        <w:spacing w:after="0" w:line="360" w:lineRule="auto"/>
        <w:ind w:firstLine="709"/>
        <w:jc w:val="both"/>
        <w:rPr>
          <w:rFonts w:ascii="Times New Roman" w:hAnsi="Times New Roman"/>
          <w:sz w:val="24"/>
          <w:szCs w:val="24"/>
        </w:rPr>
      </w:pPr>
      <w:r w:rsidRPr="00076C09">
        <w:rPr>
          <w:rFonts w:ascii="Times New Roman" w:hAnsi="Times New Roman"/>
          <w:sz w:val="24"/>
          <w:szCs w:val="24"/>
        </w:rPr>
        <w:t xml:space="preserve">Na investigação dos discursos produzidos nas primeiras décadas do século XX sobre higiene e educação visando à melhoria das condições do povo brasileiro, podem ser utilizados com propriedade os conceitos </w:t>
      </w:r>
      <w:proofErr w:type="spellStart"/>
      <w:r w:rsidRPr="00076C09">
        <w:rPr>
          <w:rFonts w:ascii="Times New Roman" w:hAnsi="Times New Roman"/>
          <w:sz w:val="24"/>
          <w:szCs w:val="24"/>
        </w:rPr>
        <w:t>foucaultianos</w:t>
      </w:r>
      <w:proofErr w:type="spellEnd"/>
      <w:r w:rsidRPr="00076C09">
        <w:rPr>
          <w:rFonts w:ascii="Times New Roman" w:hAnsi="Times New Roman"/>
          <w:sz w:val="24"/>
          <w:szCs w:val="24"/>
        </w:rPr>
        <w:t>, justamente pelo entendimento de que esses discursos têm caráter de inclusão, qual seja, o de fornecer um modelo de educação que atenda ao tratamento das carências do povo brasileiro, mas que deixa manifesto quem dita o poder e quais são as normas e procedimentos a serem seguidos.</w:t>
      </w:r>
    </w:p>
    <w:p w14:paraId="59502059" w14:textId="77777777" w:rsidR="00076C09" w:rsidRPr="00076C09" w:rsidRDefault="00076C09" w:rsidP="00076C09">
      <w:pPr>
        <w:tabs>
          <w:tab w:val="left" w:pos="0"/>
        </w:tabs>
        <w:spacing w:after="0" w:line="360" w:lineRule="auto"/>
        <w:ind w:firstLine="709"/>
        <w:jc w:val="both"/>
        <w:rPr>
          <w:rFonts w:ascii="Times New Roman" w:hAnsi="Times New Roman"/>
          <w:sz w:val="24"/>
          <w:szCs w:val="24"/>
        </w:rPr>
      </w:pPr>
      <w:r w:rsidRPr="00076C09">
        <w:rPr>
          <w:rFonts w:ascii="Times New Roman" w:hAnsi="Times New Roman"/>
          <w:sz w:val="24"/>
          <w:szCs w:val="24"/>
        </w:rPr>
        <w:t>O modelo que se utiliza exemplarmente desse poder – pois é sobre o poder, e o discurso do poder que funciona ou tenta funcionar por meio de tecnologias diversas, que Foucault fundamenta e desenvolve seu texto – é o modelo médico-jurídico ou jurídico-médico, pois não importa a ordem sequencial: “O que veio primeiro o médico ou o jurista?”.</w:t>
      </w:r>
    </w:p>
    <w:p w14:paraId="71F5E9A5" w14:textId="77777777" w:rsidR="00076C09" w:rsidRPr="00076C09" w:rsidRDefault="00076C09" w:rsidP="00076C09">
      <w:pPr>
        <w:tabs>
          <w:tab w:val="left" w:pos="0"/>
        </w:tabs>
        <w:spacing w:after="0" w:line="360" w:lineRule="auto"/>
        <w:ind w:firstLine="709"/>
        <w:jc w:val="both"/>
        <w:rPr>
          <w:rFonts w:ascii="Times New Roman" w:hAnsi="Times New Roman"/>
          <w:sz w:val="24"/>
          <w:szCs w:val="24"/>
        </w:rPr>
      </w:pPr>
      <w:r w:rsidRPr="00076C09">
        <w:rPr>
          <w:rFonts w:ascii="Times New Roman" w:hAnsi="Times New Roman"/>
          <w:sz w:val="24"/>
          <w:szCs w:val="24"/>
        </w:rPr>
        <w:t>No Brasil, nas primeiras décadas do século XX, está em curso um novo projeto político-social cuja referência se apoia em conceitos higienistas difundidos na sociedade europeia desde o início do século XIX. Começa-se a se definir e categorizar os indivíduos e os grupos sociais por meio de determinadas características (físicas e morais) que vão chegar à formação de perfis psicológicos e patológicos também, quando se manifestam desviados das características definidas como da normalidade.</w:t>
      </w:r>
      <w:r w:rsidRPr="00076C09">
        <w:rPr>
          <w:rStyle w:val="FootnoteReference"/>
          <w:rFonts w:ascii="Times New Roman" w:hAnsi="Times New Roman"/>
          <w:sz w:val="24"/>
          <w:szCs w:val="24"/>
        </w:rPr>
        <w:footnoteReference w:id="10"/>
      </w:r>
      <w:r w:rsidRPr="00076C09">
        <w:rPr>
          <w:rFonts w:ascii="Times New Roman" w:hAnsi="Times New Roman"/>
          <w:sz w:val="24"/>
          <w:szCs w:val="24"/>
        </w:rPr>
        <w:t xml:space="preserve"> Esse é um processo histórico longo, descontínuo e nem sempre claro ou coerente. </w:t>
      </w:r>
    </w:p>
    <w:p w14:paraId="02114DB1" w14:textId="77777777" w:rsidR="00076C09" w:rsidRPr="00076C09" w:rsidRDefault="00076C09" w:rsidP="00076C09">
      <w:pPr>
        <w:tabs>
          <w:tab w:val="left" w:pos="0"/>
        </w:tabs>
        <w:spacing w:after="0" w:line="360" w:lineRule="auto"/>
        <w:ind w:firstLine="709"/>
        <w:jc w:val="both"/>
        <w:rPr>
          <w:rFonts w:ascii="Times New Roman" w:hAnsi="Times New Roman"/>
          <w:sz w:val="24"/>
          <w:szCs w:val="24"/>
        </w:rPr>
      </w:pPr>
      <w:r w:rsidRPr="00076C09">
        <w:rPr>
          <w:rFonts w:ascii="Times New Roman" w:hAnsi="Times New Roman"/>
          <w:sz w:val="24"/>
          <w:szCs w:val="24"/>
        </w:rPr>
        <w:lastRenderedPageBreak/>
        <w:t xml:space="preserve">Os conceitos </w:t>
      </w:r>
      <w:proofErr w:type="spellStart"/>
      <w:r w:rsidRPr="00076C09">
        <w:rPr>
          <w:rFonts w:ascii="Times New Roman" w:hAnsi="Times New Roman"/>
          <w:sz w:val="24"/>
          <w:szCs w:val="24"/>
        </w:rPr>
        <w:t>foucaultianos</w:t>
      </w:r>
      <w:proofErr w:type="spellEnd"/>
      <w:r w:rsidRPr="00076C09">
        <w:rPr>
          <w:rFonts w:ascii="Times New Roman" w:hAnsi="Times New Roman"/>
          <w:sz w:val="24"/>
          <w:szCs w:val="24"/>
        </w:rPr>
        <w:t xml:space="preserve"> nos incitam, também, a inserir uma relevante consideração nesse contexto higienista e moral: a relação entre a criminalidade e a educação. Há sempre uma expectativa de que os anormais mais cedo ou mais tarde poderão se transformar em criminosos, e isto significa cuidar do que eles representam: a perturbação e o desvio das normas do (bom) convívio social. A possibilidade da ocorrência de um crime é que mobiliza a constituição de um modelo médico-jurídico para a sociedade. Se o crime cometido não pode mais ser corrigido, pode, no entanto, ser evitada sua repetição com a aplicação de penas que sirvam de “exemplo” para a prevenção de crimes semelhantes. A função educativa do crime a ser evitado pela aplicação da penalidade legal é evidentemente uma expectativa a ser alcançada sem tanta consistência do que outra ação educativa mais eficaz: a educação escolarizada, ou seja, as normas e procedimentos didático-pedagógicos impetrados dentro das instituições educacionais são necessários para prevenir/evitar a eclosão de manifestações antissociais.</w:t>
      </w:r>
    </w:p>
    <w:p w14:paraId="6CDE1E65" w14:textId="77777777" w:rsidR="00076C09" w:rsidRPr="00076C09" w:rsidRDefault="00076C09" w:rsidP="00076C09">
      <w:pPr>
        <w:tabs>
          <w:tab w:val="left" w:pos="0"/>
        </w:tabs>
        <w:spacing w:after="0" w:line="360" w:lineRule="auto"/>
        <w:ind w:firstLine="709"/>
        <w:jc w:val="both"/>
        <w:rPr>
          <w:rFonts w:ascii="Times New Roman" w:hAnsi="Times New Roman"/>
          <w:sz w:val="24"/>
          <w:szCs w:val="24"/>
        </w:rPr>
      </w:pPr>
      <w:r w:rsidRPr="00076C09">
        <w:rPr>
          <w:rFonts w:ascii="Times New Roman" w:hAnsi="Times New Roman"/>
          <w:sz w:val="24"/>
          <w:szCs w:val="24"/>
        </w:rPr>
        <w:t>Para finalizar esta parte da apresentação do projeto, será abordada a hipótese que norteia este trabalho. Este projeto aponta para a relação, ou melhor, um sistema de relações que envolvem a formação do discurso para a sociedade e, especificamente, para a educação sob a tutela de preceitos de moral e higiene. Esse discurso se formou num percurso descontínuo, irregular e disperso,</w:t>
      </w:r>
      <w:r w:rsidRPr="00076C09">
        <w:rPr>
          <w:rStyle w:val="FootnoteReference"/>
          <w:rFonts w:ascii="Times New Roman" w:hAnsi="Times New Roman"/>
          <w:sz w:val="24"/>
          <w:szCs w:val="24"/>
        </w:rPr>
        <w:footnoteReference w:id="11"/>
      </w:r>
      <w:r w:rsidRPr="00076C09">
        <w:rPr>
          <w:rFonts w:ascii="Times New Roman" w:hAnsi="Times New Roman"/>
          <w:sz w:val="24"/>
          <w:szCs w:val="24"/>
        </w:rPr>
        <w:t xml:space="preserve"> cuja genealogia pode ser invocada na sistematização dos princípios de condução e regulação dos comportamentos propostos por Erasmo e publicados em 1560 em </w:t>
      </w:r>
      <w:r w:rsidRPr="00076C09">
        <w:rPr>
          <w:rFonts w:ascii="Times New Roman" w:hAnsi="Times New Roman"/>
          <w:i/>
          <w:sz w:val="24"/>
          <w:szCs w:val="24"/>
        </w:rPr>
        <w:t>De Pueris: A civilidade pueril</w:t>
      </w:r>
      <w:r w:rsidRPr="00076C09">
        <w:rPr>
          <w:rFonts w:ascii="Times New Roman" w:hAnsi="Times New Roman"/>
          <w:sz w:val="24"/>
          <w:szCs w:val="24"/>
        </w:rPr>
        <w:t xml:space="preserve"> (ERASMO, 2008).</w:t>
      </w:r>
      <w:r w:rsidRPr="00076C09">
        <w:rPr>
          <w:rStyle w:val="FootnoteReference"/>
          <w:rFonts w:ascii="Times New Roman" w:hAnsi="Times New Roman"/>
          <w:sz w:val="24"/>
          <w:szCs w:val="24"/>
        </w:rPr>
        <w:footnoteReference w:id="12"/>
      </w:r>
      <w:r w:rsidRPr="00076C09">
        <w:rPr>
          <w:rFonts w:ascii="Times New Roman" w:hAnsi="Times New Roman"/>
          <w:sz w:val="24"/>
          <w:szCs w:val="24"/>
        </w:rPr>
        <w:t xml:space="preserve"> Os preceitos de moral, fortemente embebidos de princípios cristãos,</w:t>
      </w:r>
      <w:r w:rsidRPr="00076C09">
        <w:rPr>
          <w:rStyle w:val="FootnoteReference"/>
          <w:rFonts w:ascii="Times New Roman" w:hAnsi="Times New Roman"/>
          <w:sz w:val="24"/>
          <w:szCs w:val="24"/>
        </w:rPr>
        <w:footnoteReference w:id="13"/>
      </w:r>
      <w:r w:rsidRPr="00076C09">
        <w:rPr>
          <w:rFonts w:ascii="Times New Roman" w:hAnsi="Times New Roman"/>
          <w:sz w:val="24"/>
          <w:szCs w:val="24"/>
        </w:rPr>
        <w:t xml:space="preserve"> dão sustentação à forma de vida em sociedade forjadas principalmente na sistematização dos projetos de educação escolarizadas das crianças ocidentais durante três séculos.</w:t>
      </w:r>
    </w:p>
    <w:p w14:paraId="2040F125" w14:textId="77777777" w:rsidR="00076C09" w:rsidRPr="00076C09" w:rsidRDefault="00076C09" w:rsidP="00076C09">
      <w:pPr>
        <w:spacing w:after="0" w:line="360" w:lineRule="auto"/>
        <w:ind w:firstLine="709"/>
        <w:jc w:val="both"/>
        <w:rPr>
          <w:rFonts w:ascii="Times New Roman" w:hAnsi="Times New Roman"/>
          <w:sz w:val="24"/>
          <w:szCs w:val="24"/>
        </w:rPr>
      </w:pPr>
      <w:r w:rsidRPr="00076C09">
        <w:rPr>
          <w:rFonts w:ascii="Times New Roman" w:hAnsi="Times New Roman"/>
          <w:sz w:val="24"/>
          <w:szCs w:val="24"/>
        </w:rPr>
        <w:lastRenderedPageBreak/>
        <w:t>Já no século XVII, a medicina começa a se movimentar para ocupar um papel de relevância na condução dos processos individuais e sociais a partir dos conhecimentos sobre o funcionamento do corpo humano, estabelecendo cada vez mais, notoriamente, princípios para a aquisição e conservação da saúde. Nesse contexto histórico, destaca-se o trabalho do médico inglês William Harvey sobre a circulação do sangue:</w:t>
      </w:r>
    </w:p>
    <w:p w14:paraId="766FEAEF" w14:textId="77777777" w:rsidR="00076C09" w:rsidRPr="00076C09" w:rsidRDefault="00076C09" w:rsidP="00076C09">
      <w:pPr>
        <w:spacing w:after="0"/>
        <w:ind w:firstLine="709"/>
        <w:jc w:val="both"/>
        <w:rPr>
          <w:rFonts w:ascii="Times New Roman" w:hAnsi="Times New Roman"/>
          <w:sz w:val="24"/>
          <w:szCs w:val="24"/>
        </w:rPr>
      </w:pPr>
    </w:p>
    <w:p w14:paraId="3E94D281" w14:textId="77777777" w:rsidR="00076C09" w:rsidRPr="00076C09" w:rsidRDefault="00076C09" w:rsidP="00076C09">
      <w:pPr>
        <w:spacing w:after="0" w:line="240" w:lineRule="auto"/>
        <w:ind w:left="2268"/>
        <w:jc w:val="both"/>
        <w:rPr>
          <w:rFonts w:ascii="Times New Roman" w:hAnsi="Times New Roman"/>
          <w:sz w:val="20"/>
          <w:szCs w:val="20"/>
        </w:rPr>
      </w:pPr>
      <w:r w:rsidRPr="00076C09">
        <w:rPr>
          <w:rFonts w:ascii="Times New Roman" w:hAnsi="Times New Roman"/>
          <w:sz w:val="20"/>
          <w:szCs w:val="20"/>
        </w:rPr>
        <w:t>Suas descobertas sobre a circulação do sangue e a respiração levaram a novas idéias a respeito da saúde pública [...], A revolução médica parecia ter operado a troca da moralidade por saúde; e os engenheiros sociais, estabelecida a identidade entre saúde e locomoção/circulação. Estava criado o novo arquétipo da felicidade humana. (SENNETT, 2008, p. 262-263)</w:t>
      </w:r>
    </w:p>
    <w:p w14:paraId="6E5C661E" w14:textId="77777777" w:rsidR="00076C09" w:rsidRPr="00076C09" w:rsidRDefault="00076C09" w:rsidP="00076C09">
      <w:pPr>
        <w:spacing w:after="0"/>
        <w:ind w:firstLine="709"/>
        <w:jc w:val="both"/>
        <w:rPr>
          <w:rFonts w:ascii="Times New Roman" w:hAnsi="Times New Roman"/>
          <w:sz w:val="20"/>
          <w:szCs w:val="20"/>
        </w:rPr>
      </w:pPr>
    </w:p>
    <w:p w14:paraId="69C68322" w14:textId="77777777" w:rsidR="00076C09" w:rsidRPr="00076C09" w:rsidRDefault="00076C09" w:rsidP="00076C09">
      <w:pPr>
        <w:spacing w:after="0" w:line="360" w:lineRule="auto"/>
        <w:ind w:firstLine="709"/>
        <w:jc w:val="both"/>
        <w:rPr>
          <w:rFonts w:ascii="Times New Roman" w:hAnsi="Times New Roman"/>
          <w:sz w:val="24"/>
          <w:szCs w:val="24"/>
        </w:rPr>
      </w:pPr>
      <w:r w:rsidRPr="00076C09">
        <w:rPr>
          <w:rFonts w:ascii="Times New Roman" w:hAnsi="Times New Roman"/>
          <w:sz w:val="24"/>
          <w:szCs w:val="24"/>
        </w:rPr>
        <w:t xml:space="preserve">Nos oitocentos, o discurso médico se consolida com a aproximação ao discurso judiciário, visando à condução da vida social por meio de princípios de justiça (moral e ordem) que sejam cientificamente balizados (FOUCAULT, 2002). Na segunda metade do século XIX, ideias higienistas – assim como </w:t>
      </w:r>
      <w:proofErr w:type="spellStart"/>
      <w:r w:rsidRPr="00076C09">
        <w:rPr>
          <w:rFonts w:ascii="Times New Roman" w:hAnsi="Times New Roman"/>
          <w:sz w:val="24"/>
          <w:szCs w:val="24"/>
        </w:rPr>
        <w:t>eugenistas</w:t>
      </w:r>
      <w:proofErr w:type="spellEnd"/>
      <w:r w:rsidRPr="00076C09">
        <w:rPr>
          <w:rFonts w:ascii="Times New Roman" w:hAnsi="Times New Roman"/>
          <w:sz w:val="24"/>
          <w:szCs w:val="24"/>
        </w:rPr>
        <w:t xml:space="preserve"> – recobrem o discurso moral (e religioso) pela força persuasiva de sua argumentação científica, sem, eliminar, obviamente, a presença de ideias morais e religiosas na sociedade.</w:t>
      </w:r>
    </w:p>
    <w:p w14:paraId="7FA1A177" w14:textId="77777777" w:rsidR="00076C09" w:rsidRPr="00076C09" w:rsidRDefault="00076C09" w:rsidP="00076C09">
      <w:pPr>
        <w:spacing w:after="0" w:line="360" w:lineRule="auto"/>
        <w:ind w:firstLine="709"/>
        <w:jc w:val="both"/>
        <w:rPr>
          <w:rFonts w:ascii="Times New Roman" w:hAnsi="Times New Roman"/>
          <w:sz w:val="24"/>
          <w:szCs w:val="24"/>
        </w:rPr>
      </w:pPr>
      <w:r w:rsidRPr="00076C09">
        <w:rPr>
          <w:rFonts w:ascii="Times New Roman" w:hAnsi="Times New Roman"/>
          <w:sz w:val="24"/>
          <w:szCs w:val="24"/>
        </w:rPr>
        <w:t xml:space="preserve">Na passagem do século XIX para o século XX, ocorre a manifestação de um novo componente nesse contexto. Trata-se do surgimento dos testes de inteligência, cuja genealogia pode ser encontrada no esforço de Francis </w:t>
      </w:r>
      <w:proofErr w:type="spellStart"/>
      <w:r w:rsidRPr="00076C09">
        <w:rPr>
          <w:rFonts w:ascii="Times New Roman" w:hAnsi="Times New Roman"/>
          <w:sz w:val="24"/>
          <w:szCs w:val="24"/>
        </w:rPr>
        <w:t>Galton</w:t>
      </w:r>
      <w:proofErr w:type="spellEnd"/>
      <w:r w:rsidRPr="00076C09">
        <w:rPr>
          <w:rFonts w:ascii="Times New Roman" w:hAnsi="Times New Roman"/>
          <w:sz w:val="24"/>
          <w:szCs w:val="24"/>
        </w:rPr>
        <w:t xml:space="preserve"> em propor uma escala de medição em 1882.</w:t>
      </w:r>
      <w:r w:rsidRPr="00076C09">
        <w:rPr>
          <w:rStyle w:val="FootnoteReference"/>
          <w:rFonts w:ascii="Times New Roman" w:hAnsi="Times New Roman"/>
          <w:sz w:val="24"/>
          <w:szCs w:val="24"/>
        </w:rPr>
        <w:footnoteReference w:id="14"/>
      </w:r>
      <w:r w:rsidRPr="00076C09">
        <w:rPr>
          <w:rFonts w:ascii="Times New Roman" w:hAnsi="Times New Roman"/>
          <w:sz w:val="24"/>
          <w:szCs w:val="24"/>
        </w:rPr>
        <w:t xml:space="preserve"> Alfred Binet é quem vai verdadeiramente dar início ao que hoje é corriqueiramente (mal) conhecido e (muito) falado Teste de Q.I.</w:t>
      </w:r>
      <w:r w:rsidRPr="00076C09">
        <w:rPr>
          <w:rStyle w:val="FootnoteReference"/>
          <w:rFonts w:ascii="Times New Roman" w:hAnsi="Times New Roman"/>
          <w:sz w:val="24"/>
          <w:szCs w:val="24"/>
        </w:rPr>
        <w:footnoteReference w:id="15"/>
      </w:r>
      <w:r w:rsidRPr="00076C09">
        <w:rPr>
          <w:rFonts w:ascii="Times New Roman" w:hAnsi="Times New Roman"/>
          <w:sz w:val="24"/>
          <w:szCs w:val="24"/>
        </w:rPr>
        <w:t xml:space="preserve"> O objetivo era dar mais cientificidade ainda aos princípios que a medicina recobrira sobre a dita anormalidade, mais pronunciados verbalmente do que verificados concretamente, algo que os testes psicológicos mostrariam com clareza.</w:t>
      </w:r>
    </w:p>
    <w:p w14:paraId="76BC4491" w14:textId="77777777" w:rsidR="00076C09" w:rsidRPr="00076C09" w:rsidRDefault="00076C09" w:rsidP="00076C09">
      <w:pPr>
        <w:spacing w:after="0" w:line="360" w:lineRule="auto"/>
        <w:ind w:firstLine="709"/>
        <w:jc w:val="both"/>
        <w:rPr>
          <w:rFonts w:ascii="Times New Roman" w:hAnsi="Times New Roman"/>
          <w:sz w:val="24"/>
          <w:szCs w:val="24"/>
        </w:rPr>
      </w:pPr>
      <w:r w:rsidRPr="00076C09">
        <w:rPr>
          <w:rFonts w:ascii="Times New Roman" w:hAnsi="Times New Roman"/>
          <w:sz w:val="24"/>
          <w:szCs w:val="24"/>
        </w:rPr>
        <w:t>É nesse contexto de princípios morais/religiosos, recobertos e convertidos parcialmente em fundamentos científicos pela medicina do século XIX e aprimorados pela contribuição da psicologia, preocupada em tornar-se a verdadeira ciência do comportamento humano (via testes de inteligência), no princípio do século XX, que se vai fundamentar a pedagogia da atualidade.</w:t>
      </w:r>
    </w:p>
    <w:p w14:paraId="2F9F7613" w14:textId="77777777" w:rsidR="00076C09" w:rsidRPr="00076C09" w:rsidRDefault="00076C09" w:rsidP="00076C09">
      <w:pPr>
        <w:spacing w:after="0" w:line="360" w:lineRule="auto"/>
        <w:ind w:firstLine="709"/>
        <w:jc w:val="both"/>
        <w:rPr>
          <w:rFonts w:ascii="Times New Roman" w:hAnsi="Times New Roman"/>
          <w:sz w:val="24"/>
          <w:szCs w:val="24"/>
        </w:rPr>
      </w:pPr>
      <w:r w:rsidRPr="00076C09">
        <w:rPr>
          <w:rFonts w:ascii="Times New Roman" w:hAnsi="Times New Roman"/>
          <w:sz w:val="24"/>
          <w:szCs w:val="24"/>
        </w:rPr>
        <w:lastRenderedPageBreak/>
        <w:t>Na primeira metade dos novecentos, a pedagogia estava preocupada com os meios para se tornar uma ciência da educação e com isso se envolveu em sistemas de relações cada vez mais complexas e de difícil separação entre seus elementos constituintes: médico/judiciário/psicológico e sem perder o viés moral/religioso. Essas relações promoveram formações de discursos para a educação com características de descontinuidade, irregularidade e dispersão. Essa formação heteróclita, no entanto, não perdeu o foco de sua objetividade, o de tutelar projetos e propostas educativas em três dimensões: educar os educáveis; corrigir e sanar os defeitos dos corrigíveis e separar (incluir em instituições específicas) os incorrigíveis para não prejudicarem a harmonia social.</w:t>
      </w:r>
    </w:p>
    <w:p w14:paraId="13817313" w14:textId="77777777" w:rsidR="00076C09" w:rsidRPr="00076C09" w:rsidRDefault="00076C09" w:rsidP="00076C09">
      <w:pPr>
        <w:spacing w:after="0" w:line="360" w:lineRule="auto"/>
        <w:ind w:firstLine="709"/>
        <w:jc w:val="both"/>
        <w:rPr>
          <w:rFonts w:ascii="Times New Roman" w:hAnsi="Times New Roman"/>
          <w:sz w:val="24"/>
          <w:szCs w:val="24"/>
        </w:rPr>
      </w:pPr>
      <w:r w:rsidRPr="00076C09">
        <w:rPr>
          <w:rFonts w:ascii="Times New Roman" w:hAnsi="Times New Roman"/>
          <w:sz w:val="24"/>
          <w:szCs w:val="24"/>
        </w:rPr>
        <w:t xml:space="preserve">O projeto aqui apresentado – apesar da sua multifacetária inserção e sem perder de vista as singularidades de cada pesquisa já realizada e das que serão desenvolvidas – tem uma prioridade: a análise da produção e difusão de um discurso que por sua composição heteróclita tem muita dificuldade em se impor como hegemônico, sem se notar notórios paradoxos e clara puerilidade. O que se pretende é colocar a atenção na intertextualidade desses, na verdade, </w:t>
      </w:r>
      <w:r w:rsidRPr="00076C09">
        <w:rPr>
          <w:rFonts w:ascii="Times New Roman" w:hAnsi="Times New Roman"/>
          <w:i/>
          <w:sz w:val="24"/>
          <w:szCs w:val="24"/>
        </w:rPr>
        <w:t>discursos</w:t>
      </w:r>
      <w:r w:rsidRPr="00076C09">
        <w:rPr>
          <w:rFonts w:ascii="Times New Roman" w:hAnsi="Times New Roman"/>
          <w:sz w:val="24"/>
          <w:szCs w:val="24"/>
        </w:rPr>
        <w:t xml:space="preserve"> (no plural). A análise intertextual visa, justamente, apontar e descobrir (tirar a capa que ingenuamente tenta protegê-los de sua fragilidade epistemológica) essa outra face que tenta se esconder atrás (ou dentro ou abaixo) da manifestação desses discursos expostos como força e poder da verdade. A proposta é de ir mais para o fundo (ou “profundo”) dos discursos, percorrê-los por dentro e visualizar as formas com que querem se naturalizar (como força e poder da verdade). É algo dado como se fora do discurso não existisse a realidade. É preciso questionar essa “verdade” e ler a realidade aí manifesta (no discurso). Mas, que tipo de leitura é possível? Aquela que mostra as dobras (</w:t>
      </w:r>
      <w:r w:rsidRPr="00076C09">
        <w:rPr>
          <w:rFonts w:ascii="Times New Roman" w:hAnsi="Times New Roman"/>
          <w:i/>
          <w:sz w:val="24"/>
          <w:szCs w:val="24"/>
        </w:rPr>
        <w:t>plica</w:t>
      </w:r>
      <w:r w:rsidRPr="00076C09">
        <w:rPr>
          <w:rFonts w:ascii="Times New Roman" w:hAnsi="Times New Roman"/>
          <w:sz w:val="24"/>
          <w:szCs w:val="24"/>
        </w:rPr>
        <w:t xml:space="preserve"> em latim) do discurso: tanto a que </w:t>
      </w:r>
      <w:r w:rsidRPr="00076C09">
        <w:rPr>
          <w:rFonts w:ascii="Times New Roman" w:hAnsi="Times New Roman"/>
          <w:i/>
          <w:sz w:val="24"/>
          <w:szCs w:val="24"/>
        </w:rPr>
        <w:t>implica</w:t>
      </w:r>
      <w:r w:rsidRPr="00076C09">
        <w:rPr>
          <w:rFonts w:ascii="Times New Roman" w:hAnsi="Times New Roman"/>
          <w:sz w:val="24"/>
          <w:szCs w:val="24"/>
        </w:rPr>
        <w:t xml:space="preserve"> (dobra para dentro – e traz junto), como a que </w:t>
      </w:r>
      <w:r w:rsidRPr="00076C09">
        <w:rPr>
          <w:rFonts w:ascii="Times New Roman" w:hAnsi="Times New Roman"/>
          <w:i/>
          <w:sz w:val="24"/>
          <w:szCs w:val="24"/>
        </w:rPr>
        <w:t>explica</w:t>
      </w:r>
      <w:r w:rsidRPr="00076C09">
        <w:rPr>
          <w:rFonts w:ascii="Times New Roman" w:hAnsi="Times New Roman"/>
          <w:sz w:val="24"/>
          <w:szCs w:val="24"/>
        </w:rPr>
        <w:t xml:space="preserve"> (desdobra – coloca para fora).</w:t>
      </w:r>
    </w:p>
    <w:p w14:paraId="68284DE8" w14:textId="77777777" w:rsidR="00076C09" w:rsidRPr="00076C09" w:rsidRDefault="00076C09" w:rsidP="00076C09">
      <w:pPr>
        <w:spacing w:after="0" w:line="360" w:lineRule="auto"/>
        <w:ind w:firstLine="709"/>
        <w:jc w:val="both"/>
        <w:rPr>
          <w:rFonts w:ascii="Times New Roman" w:hAnsi="Times New Roman"/>
          <w:sz w:val="24"/>
          <w:szCs w:val="24"/>
        </w:rPr>
      </w:pPr>
      <w:r w:rsidRPr="00076C09">
        <w:rPr>
          <w:rFonts w:ascii="Times New Roman" w:hAnsi="Times New Roman"/>
          <w:sz w:val="24"/>
          <w:szCs w:val="24"/>
        </w:rPr>
        <w:t>De forma resumida pode ser dito que o interesse da pesquisa se concentra em torno de dois eventos: primeiro nas relações (</w:t>
      </w:r>
      <w:r w:rsidRPr="00076C09">
        <w:rPr>
          <w:rFonts w:ascii="Times New Roman" w:hAnsi="Times New Roman"/>
          <w:i/>
          <w:sz w:val="24"/>
          <w:szCs w:val="24"/>
        </w:rPr>
        <w:t>com</w:t>
      </w:r>
      <w:r w:rsidRPr="00076C09">
        <w:rPr>
          <w:rFonts w:ascii="Times New Roman" w:hAnsi="Times New Roman"/>
          <w:sz w:val="24"/>
          <w:szCs w:val="24"/>
        </w:rPr>
        <w:t>); mas também nos modos (</w:t>
      </w:r>
      <w:r w:rsidRPr="00076C09">
        <w:rPr>
          <w:rFonts w:ascii="Times New Roman" w:hAnsi="Times New Roman"/>
          <w:i/>
          <w:sz w:val="24"/>
          <w:szCs w:val="24"/>
        </w:rPr>
        <w:t>como</w:t>
      </w:r>
      <w:r w:rsidRPr="00076C09">
        <w:rPr>
          <w:rFonts w:ascii="Times New Roman" w:hAnsi="Times New Roman"/>
          <w:sz w:val="24"/>
          <w:szCs w:val="24"/>
        </w:rPr>
        <w:t xml:space="preserve">) da presença do </w:t>
      </w:r>
      <w:proofErr w:type="spellStart"/>
      <w:r w:rsidRPr="00076C09">
        <w:rPr>
          <w:rFonts w:ascii="Times New Roman" w:hAnsi="Times New Roman"/>
          <w:sz w:val="24"/>
          <w:szCs w:val="24"/>
        </w:rPr>
        <w:t>higienismo</w:t>
      </w:r>
      <w:proofErr w:type="spellEnd"/>
      <w:r w:rsidRPr="00076C09">
        <w:rPr>
          <w:rFonts w:ascii="Times New Roman" w:hAnsi="Times New Roman"/>
          <w:sz w:val="24"/>
          <w:szCs w:val="24"/>
        </w:rPr>
        <w:t xml:space="preserve"> e da moral na formação dos discursos para a educação na primeira metade do século XX. </w:t>
      </w:r>
    </w:p>
    <w:p w14:paraId="6D41AB59" w14:textId="77777777" w:rsidR="00076C09" w:rsidRPr="00076C09" w:rsidRDefault="00076C09" w:rsidP="00076C09">
      <w:pPr>
        <w:spacing w:after="0" w:line="360" w:lineRule="auto"/>
        <w:ind w:firstLine="709"/>
        <w:jc w:val="both"/>
        <w:rPr>
          <w:rFonts w:ascii="Times New Roman" w:hAnsi="Times New Roman"/>
          <w:sz w:val="24"/>
          <w:szCs w:val="24"/>
        </w:rPr>
      </w:pPr>
    </w:p>
    <w:p w14:paraId="0B576F05" w14:textId="77777777" w:rsidR="00076C09" w:rsidRPr="00076C09" w:rsidRDefault="00076C09" w:rsidP="00076C09">
      <w:pPr>
        <w:spacing w:after="0" w:line="360" w:lineRule="auto"/>
        <w:jc w:val="both"/>
        <w:rPr>
          <w:rFonts w:ascii="Times New Roman" w:hAnsi="Times New Roman"/>
          <w:b/>
          <w:sz w:val="24"/>
          <w:szCs w:val="24"/>
        </w:rPr>
      </w:pPr>
      <w:r w:rsidRPr="00076C09">
        <w:rPr>
          <w:rFonts w:ascii="Times New Roman" w:hAnsi="Times New Roman"/>
          <w:b/>
          <w:sz w:val="24"/>
          <w:szCs w:val="24"/>
        </w:rPr>
        <w:t>CONSIDERAÇÕES FINAIS: ALGUMAS PESQUISAS REALIZADAS</w:t>
      </w:r>
    </w:p>
    <w:p w14:paraId="344AC5B2" w14:textId="77777777" w:rsidR="00076C09" w:rsidRPr="00076C09" w:rsidRDefault="00076C09" w:rsidP="00076C09">
      <w:pPr>
        <w:spacing w:after="0" w:line="360" w:lineRule="auto"/>
        <w:ind w:firstLine="709"/>
        <w:jc w:val="both"/>
        <w:rPr>
          <w:rFonts w:ascii="Times New Roman" w:hAnsi="Times New Roman"/>
          <w:b/>
          <w:sz w:val="24"/>
          <w:szCs w:val="24"/>
        </w:rPr>
      </w:pPr>
    </w:p>
    <w:p w14:paraId="338EFDF4" w14:textId="77777777" w:rsidR="00076C09" w:rsidRPr="00076C09" w:rsidRDefault="00076C09" w:rsidP="00076C09">
      <w:pPr>
        <w:spacing w:after="0" w:line="360" w:lineRule="auto"/>
        <w:ind w:firstLine="709"/>
        <w:jc w:val="both"/>
        <w:rPr>
          <w:rFonts w:ascii="Times New Roman" w:hAnsi="Times New Roman"/>
          <w:sz w:val="24"/>
          <w:szCs w:val="24"/>
        </w:rPr>
      </w:pPr>
      <w:r w:rsidRPr="00076C09">
        <w:rPr>
          <w:rFonts w:ascii="Times New Roman" w:hAnsi="Times New Roman"/>
          <w:sz w:val="24"/>
          <w:szCs w:val="24"/>
        </w:rPr>
        <w:lastRenderedPageBreak/>
        <w:t>Como fecho deste trabalho, apresento de forma resumida três pesquisas entre quatorze realizadas a partir do projeto anteriormente descrito que oferecem um panorama das possibilidades de exploração do tema.</w:t>
      </w:r>
    </w:p>
    <w:p w14:paraId="0FB14DA3" w14:textId="77777777" w:rsidR="00076C09" w:rsidRPr="00076C09" w:rsidRDefault="00076C09" w:rsidP="00076C09">
      <w:pPr>
        <w:spacing w:after="0" w:line="360" w:lineRule="auto"/>
        <w:ind w:firstLine="709"/>
        <w:jc w:val="both"/>
        <w:rPr>
          <w:rFonts w:ascii="Times New Roman" w:hAnsi="Times New Roman"/>
          <w:sz w:val="24"/>
          <w:szCs w:val="24"/>
        </w:rPr>
      </w:pPr>
      <w:r w:rsidRPr="00076C09">
        <w:rPr>
          <w:rFonts w:ascii="Times New Roman" w:hAnsi="Times New Roman"/>
          <w:sz w:val="24"/>
          <w:szCs w:val="24"/>
        </w:rPr>
        <w:t>Na dissertação “</w:t>
      </w:r>
      <w:r w:rsidRPr="00076C09">
        <w:rPr>
          <w:rFonts w:ascii="Times New Roman" w:hAnsi="Times New Roman"/>
          <w:i/>
          <w:sz w:val="24"/>
          <w:szCs w:val="24"/>
        </w:rPr>
        <w:t>A escola só recebe alunos limpos</w:t>
      </w:r>
      <w:r w:rsidRPr="00076C09">
        <w:rPr>
          <w:rFonts w:ascii="Times New Roman" w:hAnsi="Times New Roman"/>
          <w:sz w:val="24"/>
          <w:szCs w:val="24"/>
        </w:rPr>
        <w:t xml:space="preserve">”: </w:t>
      </w:r>
      <w:r w:rsidRPr="00076C09">
        <w:rPr>
          <w:rFonts w:ascii="Times New Roman" w:hAnsi="Times New Roman"/>
          <w:i/>
          <w:sz w:val="24"/>
          <w:szCs w:val="24"/>
        </w:rPr>
        <w:t xml:space="preserve">discursos </w:t>
      </w:r>
      <w:proofErr w:type="spellStart"/>
      <w:r w:rsidRPr="00076C09">
        <w:rPr>
          <w:rFonts w:ascii="Times New Roman" w:hAnsi="Times New Roman"/>
          <w:i/>
          <w:sz w:val="24"/>
          <w:szCs w:val="24"/>
        </w:rPr>
        <w:t>biopolíticos</w:t>
      </w:r>
      <w:proofErr w:type="spellEnd"/>
      <w:r w:rsidRPr="00076C09">
        <w:rPr>
          <w:rFonts w:ascii="Times New Roman" w:hAnsi="Times New Roman"/>
          <w:i/>
          <w:sz w:val="24"/>
          <w:szCs w:val="24"/>
        </w:rPr>
        <w:t xml:space="preserve"> para a educação na legislação mineira de 1927</w:t>
      </w:r>
      <w:r w:rsidRPr="00076C09">
        <w:rPr>
          <w:rFonts w:ascii="Times New Roman" w:hAnsi="Times New Roman"/>
          <w:sz w:val="24"/>
          <w:szCs w:val="24"/>
        </w:rPr>
        <w:t xml:space="preserve">, defendida em 2012 por Eliane </w:t>
      </w:r>
      <w:proofErr w:type="spellStart"/>
      <w:r w:rsidRPr="00076C09">
        <w:rPr>
          <w:rFonts w:ascii="Times New Roman" w:hAnsi="Times New Roman"/>
          <w:sz w:val="24"/>
          <w:szCs w:val="24"/>
        </w:rPr>
        <w:t>Vianey</w:t>
      </w:r>
      <w:proofErr w:type="spellEnd"/>
      <w:r w:rsidRPr="00076C09">
        <w:rPr>
          <w:rFonts w:ascii="Times New Roman" w:hAnsi="Times New Roman"/>
          <w:sz w:val="24"/>
          <w:szCs w:val="24"/>
        </w:rPr>
        <w:t xml:space="preserve"> de Carvalho, foi feita a análise do discurso </w:t>
      </w:r>
      <w:proofErr w:type="spellStart"/>
      <w:r w:rsidRPr="00076C09">
        <w:rPr>
          <w:rFonts w:ascii="Times New Roman" w:hAnsi="Times New Roman"/>
          <w:sz w:val="24"/>
          <w:szCs w:val="24"/>
        </w:rPr>
        <w:t>biopolítico</w:t>
      </w:r>
      <w:proofErr w:type="spellEnd"/>
      <w:r w:rsidRPr="00076C09">
        <w:rPr>
          <w:rFonts w:ascii="Times New Roman" w:hAnsi="Times New Roman"/>
          <w:sz w:val="24"/>
          <w:szCs w:val="24"/>
        </w:rPr>
        <w:t xml:space="preserve"> na legislação mineira de 1927, evidenciando como as propostas educativas voltadas para a saúde do indivíduo e da população aparecem no texto legal. Para tal, discurso, sob a perspectiva de Michel Foucault, nos regulamentos da Saúde Pública, da Assistência a Alienados de Minas Gerais, da Assistência e Proteção a Menores Abandonados e Delinquentes, bem como nos textos direcionados exclusivamente à educação, como o Regulamento e os Programas do Ensino Primário (CARVALHO, 2012).</w:t>
      </w:r>
    </w:p>
    <w:p w14:paraId="1FFC3172" w14:textId="77777777" w:rsidR="00076C09" w:rsidRPr="00076C09" w:rsidRDefault="00076C09" w:rsidP="00076C09">
      <w:pPr>
        <w:spacing w:after="0" w:line="360" w:lineRule="auto"/>
        <w:ind w:firstLine="709"/>
        <w:jc w:val="both"/>
        <w:rPr>
          <w:rFonts w:ascii="Times New Roman" w:hAnsi="Times New Roman"/>
          <w:sz w:val="24"/>
          <w:szCs w:val="24"/>
        </w:rPr>
      </w:pPr>
      <w:r w:rsidRPr="00076C09">
        <w:rPr>
          <w:rFonts w:ascii="Times New Roman" w:hAnsi="Times New Roman"/>
          <w:sz w:val="24"/>
          <w:szCs w:val="24"/>
        </w:rPr>
        <w:t xml:space="preserve">Em </w:t>
      </w:r>
      <w:r w:rsidRPr="00076C09">
        <w:rPr>
          <w:rFonts w:ascii="Times New Roman" w:hAnsi="Times New Roman"/>
          <w:i/>
          <w:sz w:val="24"/>
          <w:szCs w:val="24"/>
        </w:rPr>
        <w:t xml:space="preserve">A educação nas páginas do jornal </w:t>
      </w:r>
      <w:r w:rsidRPr="00076C09">
        <w:rPr>
          <w:rFonts w:ascii="Times New Roman" w:hAnsi="Times New Roman"/>
          <w:sz w:val="24"/>
          <w:szCs w:val="24"/>
        </w:rPr>
        <w:t>“</w:t>
      </w:r>
      <w:r w:rsidRPr="00076C09">
        <w:rPr>
          <w:rFonts w:ascii="Times New Roman" w:hAnsi="Times New Roman"/>
          <w:i/>
          <w:sz w:val="24"/>
          <w:szCs w:val="24"/>
        </w:rPr>
        <w:t>O Correio</w:t>
      </w:r>
      <w:r w:rsidRPr="00076C09">
        <w:rPr>
          <w:rFonts w:ascii="Times New Roman" w:hAnsi="Times New Roman"/>
          <w:sz w:val="24"/>
          <w:szCs w:val="24"/>
        </w:rPr>
        <w:t>”</w:t>
      </w:r>
      <w:r w:rsidRPr="00076C09">
        <w:rPr>
          <w:rFonts w:ascii="Times New Roman" w:hAnsi="Times New Roman"/>
          <w:i/>
          <w:sz w:val="24"/>
          <w:szCs w:val="24"/>
        </w:rPr>
        <w:t xml:space="preserve"> (1926-1930)</w:t>
      </w:r>
      <w:r w:rsidRPr="00076C09">
        <w:rPr>
          <w:rFonts w:ascii="Times New Roman" w:hAnsi="Times New Roman"/>
          <w:sz w:val="24"/>
          <w:szCs w:val="24"/>
        </w:rPr>
        <w:t xml:space="preserve">, Luciana Vilela Paiva defendeu a dissertação em 2014, que aborda os discursos sobre as diversas formas de tratar a educação e as suas relações com a saúde da população nas publicações do jornal semanal de São João </w:t>
      </w:r>
      <w:proofErr w:type="spellStart"/>
      <w:r w:rsidRPr="00076C09">
        <w:rPr>
          <w:rFonts w:ascii="Times New Roman" w:hAnsi="Times New Roman"/>
          <w:sz w:val="24"/>
          <w:szCs w:val="24"/>
        </w:rPr>
        <w:t>del</w:t>
      </w:r>
      <w:proofErr w:type="spellEnd"/>
      <w:r w:rsidRPr="00076C09">
        <w:rPr>
          <w:rFonts w:ascii="Times New Roman" w:hAnsi="Times New Roman"/>
          <w:sz w:val="24"/>
          <w:szCs w:val="24"/>
        </w:rPr>
        <w:t xml:space="preserve">-Rei </w:t>
      </w:r>
      <w:r w:rsidRPr="00076C09">
        <w:rPr>
          <w:rFonts w:ascii="Times New Roman" w:hAnsi="Times New Roman"/>
          <w:i/>
          <w:sz w:val="24"/>
          <w:szCs w:val="24"/>
        </w:rPr>
        <w:t>O Correio</w:t>
      </w:r>
      <w:r w:rsidRPr="00076C09">
        <w:rPr>
          <w:rFonts w:ascii="Times New Roman" w:hAnsi="Times New Roman"/>
          <w:sz w:val="24"/>
          <w:szCs w:val="24"/>
        </w:rPr>
        <w:t>, entre os anos de 1926 e 1930. Nas matérias do jornal são frequentes os vestígios da preocupação educativa com a formação e destino da população são-joanense por meio do cuidado e tratamento, assim como da profilaxia dos diversos tipos de doença física e moral que supostamente atingiam essa população. Havia uma série de matérias que pretendiam manter a população são-joanense informada sobre as diversas medidas educacionais e de saúde implantadas na cidade, pois se esperava formar uma população para o trabalho diante das adversidades dos centros urbanos (PAIVA, 2014).</w:t>
      </w:r>
    </w:p>
    <w:p w14:paraId="2901A3FA" w14:textId="77777777" w:rsidR="00076C09" w:rsidRPr="00076C09" w:rsidRDefault="00076C09" w:rsidP="00076C09">
      <w:pPr>
        <w:pStyle w:val="Default"/>
        <w:spacing w:line="360" w:lineRule="auto"/>
        <w:ind w:firstLine="709"/>
        <w:jc w:val="both"/>
        <w:rPr>
          <w:color w:val="auto"/>
        </w:rPr>
      </w:pPr>
      <w:r w:rsidRPr="00076C09">
        <w:rPr>
          <w:bCs/>
          <w:color w:val="auto"/>
        </w:rPr>
        <w:t>Em 2015, Fabiana Aparecida Olívia defendeu a dissertação</w:t>
      </w:r>
      <w:r w:rsidRPr="00076C09">
        <w:rPr>
          <w:bCs/>
          <w:i/>
          <w:color w:val="auto"/>
        </w:rPr>
        <w:t xml:space="preserve"> </w:t>
      </w:r>
      <w:proofErr w:type="spellStart"/>
      <w:r w:rsidRPr="00076C09">
        <w:rPr>
          <w:bCs/>
          <w:i/>
          <w:color w:val="auto"/>
        </w:rPr>
        <w:t>Biopolítica</w:t>
      </w:r>
      <w:proofErr w:type="spellEnd"/>
      <w:r w:rsidRPr="00076C09">
        <w:rPr>
          <w:bCs/>
          <w:i/>
          <w:color w:val="auto"/>
        </w:rPr>
        <w:t xml:space="preserve">, cidadania, educação e imprensa: uma análise do </w:t>
      </w:r>
      <w:r w:rsidRPr="00076C09">
        <w:rPr>
          <w:bCs/>
          <w:iCs/>
          <w:color w:val="auto"/>
        </w:rPr>
        <w:t>“</w:t>
      </w:r>
      <w:proofErr w:type="spellStart"/>
      <w:r w:rsidRPr="00076C09">
        <w:rPr>
          <w:bCs/>
          <w:i/>
          <w:iCs/>
          <w:color w:val="auto"/>
        </w:rPr>
        <w:t>Codigo</w:t>
      </w:r>
      <w:proofErr w:type="spellEnd"/>
      <w:r w:rsidRPr="00076C09">
        <w:rPr>
          <w:bCs/>
          <w:i/>
          <w:iCs/>
          <w:color w:val="auto"/>
        </w:rPr>
        <w:t xml:space="preserve"> de posturas </w:t>
      </w:r>
      <w:proofErr w:type="spellStart"/>
      <w:r w:rsidRPr="00076C09">
        <w:rPr>
          <w:bCs/>
          <w:i/>
          <w:iCs/>
          <w:color w:val="auto"/>
        </w:rPr>
        <w:t>municipaes</w:t>
      </w:r>
      <w:proofErr w:type="spellEnd"/>
      <w:r w:rsidRPr="00076C09">
        <w:rPr>
          <w:bCs/>
          <w:i/>
          <w:iCs/>
          <w:color w:val="auto"/>
        </w:rPr>
        <w:t xml:space="preserve"> de Oliveira - Minas Gerais</w:t>
      </w:r>
      <w:r w:rsidRPr="00076C09">
        <w:rPr>
          <w:bCs/>
          <w:iCs/>
          <w:color w:val="auto"/>
        </w:rPr>
        <w:t>”</w:t>
      </w:r>
      <w:r w:rsidRPr="00076C09">
        <w:rPr>
          <w:bCs/>
          <w:i/>
          <w:iCs/>
          <w:color w:val="auto"/>
        </w:rPr>
        <w:t xml:space="preserve"> </w:t>
      </w:r>
      <w:r w:rsidRPr="00076C09">
        <w:rPr>
          <w:bCs/>
          <w:color w:val="auto"/>
        </w:rPr>
        <w:t>(1937), em que</w:t>
      </w:r>
      <w:r w:rsidRPr="00076C09">
        <w:rPr>
          <w:color w:val="auto"/>
        </w:rPr>
        <w:t xml:space="preserve"> investiga a presença do discurso </w:t>
      </w:r>
      <w:proofErr w:type="spellStart"/>
      <w:r w:rsidRPr="00076C09">
        <w:rPr>
          <w:color w:val="auto"/>
        </w:rPr>
        <w:t>biopolítico</w:t>
      </w:r>
      <w:proofErr w:type="spellEnd"/>
      <w:r w:rsidRPr="00076C09">
        <w:rPr>
          <w:color w:val="auto"/>
        </w:rPr>
        <w:t xml:space="preserve"> nas páginas do jornal </w:t>
      </w:r>
      <w:r w:rsidRPr="00076C09">
        <w:rPr>
          <w:i/>
          <w:iCs/>
          <w:color w:val="auto"/>
        </w:rPr>
        <w:t>Gazeta de Minas</w:t>
      </w:r>
      <w:r w:rsidRPr="00076C09">
        <w:rPr>
          <w:color w:val="auto"/>
        </w:rPr>
        <w:t xml:space="preserve">, especificamente no que se refere à publicação do </w:t>
      </w:r>
      <w:proofErr w:type="spellStart"/>
      <w:r w:rsidRPr="00076C09">
        <w:rPr>
          <w:i/>
          <w:iCs/>
          <w:color w:val="auto"/>
        </w:rPr>
        <w:t>Codigo</w:t>
      </w:r>
      <w:proofErr w:type="spellEnd"/>
      <w:r w:rsidRPr="00076C09">
        <w:rPr>
          <w:i/>
          <w:iCs/>
          <w:color w:val="auto"/>
        </w:rPr>
        <w:t xml:space="preserve"> de Posturas </w:t>
      </w:r>
      <w:proofErr w:type="spellStart"/>
      <w:r w:rsidRPr="00076C09">
        <w:rPr>
          <w:i/>
          <w:iCs/>
          <w:color w:val="auto"/>
        </w:rPr>
        <w:t>Municipaes</w:t>
      </w:r>
      <w:proofErr w:type="spellEnd"/>
      <w:r w:rsidRPr="00076C09">
        <w:rPr>
          <w:i/>
          <w:iCs/>
          <w:color w:val="auto"/>
        </w:rPr>
        <w:t xml:space="preserve"> de Oliveira </w:t>
      </w:r>
      <w:r w:rsidRPr="00076C09">
        <w:rPr>
          <w:color w:val="auto"/>
        </w:rPr>
        <w:t xml:space="preserve">em 1937. A publicação do </w:t>
      </w:r>
      <w:proofErr w:type="spellStart"/>
      <w:r w:rsidRPr="00076C09">
        <w:rPr>
          <w:i/>
          <w:iCs/>
          <w:color w:val="auto"/>
        </w:rPr>
        <w:t>Codigo</w:t>
      </w:r>
      <w:proofErr w:type="spellEnd"/>
      <w:r w:rsidRPr="00076C09">
        <w:rPr>
          <w:i/>
          <w:iCs/>
          <w:color w:val="auto"/>
        </w:rPr>
        <w:t xml:space="preserve"> de Posturas </w:t>
      </w:r>
      <w:proofErr w:type="spellStart"/>
      <w:r w:rsidRPr="00076C09">
        <w:rPr>
          <w:i/>
          <w:iCs/>
          <w:color w:val="auto"/>
        </w:rPr>
        <w:t>Municipaes</w:t>
      </w:r>
      <w:proofErr w:type="spellEnd"/>
      <w:r w:rsidRPr="00076C09">
        <w:rPr>
          <w:i/>
          <w:iCs/>
          <w:color w:val="auto"/>
        </w:rPr>
        <w:t xml:space="preserve"> de Oliveira </w:t>
      </w:r>
      <w:r w:rsidRPr="00076C09">
        <w:rPr>
          <w:color w:val="auto"/>
        </w:rPr>
        <w:t xml:space="preserve">evidencia a tentativa de educar o indivíduo e a população por meio de normas de comportamento, trata da higiene domiciliar, alimentação pública, moléstias epidêmicas, além de abordar o comportamento dos comerciantes, mendigos e infratores (OLÍVIA, 2015). </w:t>
      </w:r>
    </w:p>
    <w:p w14:paraId="3EFC8530" w14:textId="77777777" w:rsidR="00076C09" w:rsidRDefault="00076C09" w:rsidP="00076C09">
      <w:pPr>
        <w:spacing w:after="0" w:line="360" w:lineRule="auto"/>
        <w:ind w:firstLine="709"/>
        <w:jc w:val="both"/>
        <w:rPr>
          <w:rFonts w:ascii="Times New Roman" w:hAnsi="Times New Roman"/>
          <w:sz w:val="24"/>
          <w:szCs w:val="24"/>
        </w:rPr>
      </w:pPr>
      <w:r w:rsidRPr="00076C09">
        <w:rPr>
          <w:rFonts w:ascii="Times New Roman" w:hAnsi="Times New Roman"/>
          <w:sz w:val="24"/>
          <w:szCs w:val="24"/>
        </w:rPr>
        <w:t xml:space="preserve">Em todos os trabalhos citados, a presença dos conceitos de Foucault foi imprescindível para não só embasar epistemologicamente como sustentar o percurso de </w:t>
      </w:r>
      <w:r w:rsidRPr="00076C09">
        <w:rPr>
          <w:rFonts w:ascii="Times New Roman" w:hAnsi="Times New Roman"/>
          <w:sz w:val="24"/>
          <w:szCs w:val="24"/>
        </w:rPr>
        <w:lastRenderedPageBreak/>
        <w:t>elaboração das pesquisas. Tratar aqui das contribuições de Foucault como fragmentos foi um modo de deixar evidenciada a seleção de uma parte apenas de suas propostas teórico-metodológicas diante da diversidade e das possibilidades de investigação que o autor oferece em sua obra.</w:t>
      </w:r>
    </w:p>
    <w:p w14:paraId="788E5455" w14:textId="77777777" w:rsidR="00076C09" w:rsidRPr="00076C09" w:rsidRDefault="00076C09" w:rsidP="00076C09">
      <w:pPr>
        <w:spacing w:after="0" w:line="360" w:lineRule="auto"/>
        <w:ind w:firstLine="709"/>
        <w:jc w:val="both"/>
        <w:rPr>
          <w:rFonts w:ascii="Times New Roman" w:hAnsi="Times New Roman"/>
          <w:sz w:val="24"/>
          <w:szCs w:val="24"/>
        </w:rPr>
      </w:pPr>
    </w:p>
    <w:p w14:paraId="07462F2D" w14:textId="77777777" w:rsidR="00076C09" w:rsidRPr="00076C09" w:rsidRDefault="00076C09" w:rsidP="00076C09">
      <w:pPr>
        <w:spacing w:after="360" w:line="360" w:lineRule="auto"/>
        <w:jc w:val="both"/>
        <w:rPr>
          <w:rFonts w:ascii="Times New Roman" w:hAnsi="Times New Roman"/>
          <w:b/>
          <w:sz w:val="24"/>
          <w:szCs w:val="24"/>
        </w:rPr>
      </w:pPr>
      <w:r w:rsidRPr="00076C09">
        <w:rPr>
          <w:rFonts w:ascii="Times New Roman" w:hAnsi="Times New Roman"/>
          <w:b/>
          <w:sz w:val="24"/>
          <w:szCs w:val="24"/>
        </w:rPr>
        <w:t>REFERÊNCIAS</w:t>
      </w:r>
    </w:p>
    <w:p w14:paraId="2A8C9336" w14:textId="77777777" w:rsidR="00076C09" w:rsidRPr="00076C09" w:rsidRDefault="00076C09" w:rsidP="00076C09">
      <w:pPr>
        <w:spacing w:after="360" w:line="360" w:lineRule="auto"/>
        <w:jc w:val="both"/>
        <w:rPr>
          <w:rFonts w:ascii="Times New Roman" w:hAnsi="Times New Roman"/>
          <w:sz w:val="24"/>
          <w:szCs w:val="24"/>
        </w:rPr>
      </w:pPr>
      <w:r w:rsidRPr="00076C09">
        <w:rPr>
          <w:rFonts w:ascii="Times New Roman" w:hAnsi="Times New Roman"/>
          <w:sz w:val="24"/>
          <w:szCs w:val="24"/>
        </w:rPr>
        <w:t xml:space="preserve">CARVALHO, Eliane </w:t>
      </w:r>
      <w:proofErr w:type="spellStart"/>
      <w:r w:rsidRPr="00076C09">
        <w:rPr>
          <w:rFonts w:ascii="Times New Roman" w:hAnsi="Times New Roman"/>
          <w:sz w:val="24"/>
          <w:szCs w:val="24"/>
        </w:rPr>
        <w:t>Vianey</w:t>
      </w:r>
      <w:proofErr w:type="spellEnd"/>
      <w:r w:rsidRPr="00076C09">
        <w:rPr>
          <w:rFonts w:ascii="Times New Roman" w:hAnsi="Times New Roman"/>
          <w:sz w:val="24"/>
          <w:szCs w:val="24"/>
        </w:rPr>
        <w:t xml:space="preserve"> de. “</w:t>
      </w:r>
      <w:r w:rsidRPr="00076C09">
        <w:rPr>
          <w:rFonts w:ascii="Times New Roman" w:hAnsi="Times New Roman"/>
          <w:i/>
          <w:iCs/>
          <w:sz w:val="24"/>
          <w:szCs w:val="24"/>
        </w:rPr>
        <w:t>A escola só recebe alunos limpos</w:t>
      </w:r>
      <w:r w:rsidRPr="00076C09">
        <w:rPr>
          <w:rFonts w:ascii="Times New Roman" w:hAnsi="Times New Roman"/>
          <w:iCs/>
          <w:sz w:val="24"/>
          <w:szCs w:val="24"/>
        </w:rPr>
        <w:t>”:</w:t>
      </w:r>
      <w:r w:rsidRPr="00076C09">
        <w:rPr>
          <w:rFonts w:ascii="Times New Roman" w:hAnsi="Times New Roman"/>
          <w:i/>
          <w:iCs/>
          <w:sz w:val="24"/>
          <w:szCs w:val="24"/>
        </w:rPr>
        <w:t xml:space="preserve"> </w:t>
      </w:r>
      <w:r w:rsidRPr="00076C09">
        <w:rPr>
          <w:rFonts w:ascii="Times New Roman" w:hAnsi="Times New Roman"/>
          <w:sz w:val="24"/>
          <w:szCs w:val="24"/>
        </w:rPr>
        <w:t xml:space="preserve">discursos </w:t>
      </w:r>
      <w:proofErr w:type="spellStart"/>
      <w:r w:rsidRPr="00076C09">
        <w:rPr>
          <w:rFonts w:ascii="Times New Roman" w:hAnsi="Times New Roman"/>
          <w:sz w:val="24"/>
          <w:szCs w:val="24"/>
        </w:rPr>
        <w:t>biopolíticos</w:t>
      </w:r>
      <w:proofErr w:type="spellEnd"/>
      <w:r w:rsidRPr="00076C09">
        <w:rPr>
          <w:rFonts w:ascii="Times New Roman" w:hAnsi="Times New Roman"/>
          <w:sz w:val="24"/>
          <w:szCs w:val="24"/>
        </w:rPr>
        <w:t xml:space="preserve"> para a educação na legislação mineira de 1927. Dissertação (Mestrado em Educação) – Programa de Pós-Graduação em Educação da UFSJ, São João </w:t>
      </w:r>
      <w:proofErr w:type="spellStart"/>
      <w:r w:rsidRPr="00076C09">
        <w:rPr>
          <w:rFonts w:ascii="Times New Roman" w:hAnsi="Times New Roman"/>
          <w:sz w:val="24"/>
          <w:szCs w:val="24"/>
        </w:rPr>
        <w:t>del</w:t>
      </w:r>
      <w:proofErr w:type="spellEnd"/>
      <w:r w:rsidRPr="00076C09">
        <w:rPr>
          <w:rFonts w:ascii="Times New Roman" w:hAnsi="Times New Roman"/>
          <w:sz w:val="24"/>
          <w:szCs w:val="24"/>
        </w:rPr>
        <w:t>-Rei, 2012.</w:t>
      </w:r>
    </w:p>
    <w:p w14:paraId="6DF84B7E" w14:textId="77777777" w:rsidR="00076C09" w:rsidRPr="00076C09" w:rsidRDefault="00076C09" w:rsidP="00076C09">
      <w:pPr>
        <w:spacing w:after="360" w:line="360" w:lineRule="auto"/>
        <w:jc w:val="both"/>
        <w:rPr>
          <w:rFonts w:ascii="Times New Roman" w:hAnsi="Times New Roman"/>
          <w:sz w:val="24"/>
          <w:szCs w:val="24"/>
        </w:rPr>
      </w:pPr>
      <w:r w:rsidRPr="00076C09">
        <w:rPr>
          <w:rFonts w:ascii="Times New Roman" w:hAnsi="Times New Roman"/>
          <w:sz w:val="24"/>
          <w:szCs w:val="24"/>
        </w:rPr>
        <w:t xml:space="preserve">ERASMO. </w:t>
      </w:r>
      <w:r w:rsidRPr="00076C09">
        <w:rPr>
          <w:rFonts w:ascii="Times New Roman" w:hAnsi="Times New Roman"/>
          <w:i/>
          <w:sz w:val="24"/>
          <w:szCs w:val="24"/>
        </w:rPr>
        <w:t>De pueris (Dos meninos)</w:t>
      </w:r>
      <w:r w:rsidRPr="00076C09">
        <w:rPr>
          <w:rFonts w:ascii="Times New Roman" w:hAnsi="Times New Roman"/>
          <w:sz w:val="24"/>
          <w:szCs w:val="24"/>
        </w:rPr>
        <w:t>: A civilidade pueril. 2. ed. São Paulo: Ed. Escala, 2008.</w:t>
      </w:r>
    </w:p>
    <w:p w14:paraId="6975088C" w14:textId="77777777" w:rsidR="00076C09" w:rsidRPr="00076C09" w:rsidRDefault="00076C09" w:rsidP="00076C09">
      <w:pPr>
        <w:spacing w:after="360" w:line="360" w:lineRule="auto"/>
        <w:jc w:val="both"/>
        <w:rPr>
          <w:rFonts w:ascii="Times New Roman" w:hAnsi="Times New Roman"/>
          <w:sz w:val="24"/>
          <w:szCs w:val="24"/>
        </w:rPr>
      </w:pPr>
      <w:r w:rsidRPr="00076C09">
        <w:rPr>
          <w:rFonts w:ascii="Times New Roman" w:hAnsi="Times New Roman"/>
          <w:sz w:val="24"/>
          <w:szCs w:val="24"/>
        </w:rPr>
        <w:t xml:space="preserve">FOUCAULT, Michel. </w:t>
      </w:r>
      <w:r w:rsidRPr="00076C09">
        <w:rPr>
          <w:rFonts w:ascii="Times New Roman" w:hAnsi="Times New Roman"/>
          <w:i/>
          <w:sz w:val="24"/>
          <w:szCs w:val="24"/>
        </w:rPr>
        <w:t>História da sexualidade 1</w:t>
      </w:r>
      <w:r w:rsidRPr="00076C09">
        <w:rPr>
          <w:rFonts w:ascii="Times New Roman" w:hAnsi="Times New Roman"/>
          <w:sz w:val="24"/>
          <w:szCs w:val="24"/>
        </w:rPr>
        <w:t>: a vontade de saber. 19. ed. Rio de Janeiro: Graal, 1988.</w:t>
      </w:r>
    </w:p>
    <w:p w14:paraId="49D5D2BA" w14:textId="77777777" w:rsidR="00076C09" w:rsidRPr="00076C09" w:rsidRDefault="00076C09" w:rsidP="00076C09">
      <w:pPr>
        <w:spacing w:after="360" w:line="360" w:lineRule="auto"/>
        <w:jc w:val="both"/>
        <w:rPr>
          <w:rFonts w:ascii="Times New Roman" w:hAnsi="Times New Roman"/>
          <w:sz w:val="24"/>
          <w:szCs w:val="24"/>
        </w:rPr>
      </w:pPr>
      <w:r w:rsidRPr="00076C09">
        <w:rPr>
          <w:rFonts w:ascii="Times New Roman" w:hAnsi="Times New Roman"/>
          <w:sz w:val="24"/>
          <w:szCs w:val="24"/>
        </w:rPr>
        <w:t xml:space="preserve">_________. </w:t>
      </w:r>
      <w:r w:rsidRPr="00076C09">
        <w:rPr>
          <w:rFonts w:ascii="Times New Roman" w:hAnsi="Times New Roman"/>
          <w:i/>
          <w:sz w:val="24"/>
          <w:szCs w:val="24"/>
        </w:rPr>
        <w:t>História da sexualidade 2</w:t>
      </w:r>
      <w:r w:rsidRPr="00076C09">
        <w:rPr>
          <w:rFonts w:ascii="Times New Roman" w:hAnsi="Times New Roman"/>
          <w:sz w:val="24"/>
          <w:szCs w:val="24"/>
        </w:rPr>
        <w:t>:</w:t>
      </w:r>
      <w:r w:rsidRPr="00076C09">
        <w:rPr>
          <w:rFonts w:ascii="Times New Roman" w:hAnsi="Times New Roman"/>
          <w:i/>
          <w:sz w:val="24"/>
          <w:szCs w:val="24"/>
        </w:rPr>
        <w:t xml:space="preserve"> </w:t>
      </w:r>
      <w:r w:rsidRPr="00076C09">
        <w:rPr>
          <w:rFonts w:ascii="Times New Roman" w:hAnsi="Times New Roman"/>
          <w:sz w:val="24"/>
          <w:szCs w:val="24"/>
        </w:rPr>
        <w:t>o uso dos prazeres. 8. ed. Rio de Janeiro: Graal, 1998.</w:t>
      </w:r>
    </w:p>
    <w:p w14:paraId="2B020AAE" w14:textId="77777777" w:rsidR="00076C09" w:rsidRPr="00076C09" w:rsidRDefault="00076C09" w:rsidP="00076C09">
      <w:pPr>
        <w:spacing w:after="360" w:line="360" w:lineRule="auto"/>
        <w:jc w:val="both"/>
        <w:rPr>
          <w:rFonts w:ascii="Times New Roman" w:hAnsi="Times New Roman"/>
          <w:sz w:val="24"/>
          <w:szCs w:val="24"/>
        </w:rPr>
      </w:pPr>
      <w:r w:rsidRPr="00076C09">
        <w:rPr>
          <w:rFonts w:ascii="Times New Roman" w:hAnsi="Times New Roman"/>
          <w:sz w:val="24"/>
          <w:szCs w:val="24"/>
        </w:rPr>
        <w:t xml:space="preserve">_________. </w:t>
      </w:r>
      <w:r w:rsidRPr="00076C09">
        <w:rPr>
          <w:rFonts w:ascii="Times New Roman" w:hAnsi="Times New Roman"/>
          <w:i/>
          <w:sz w:val="24"/>
          <w:szCs w:val="24"/>
        </w:rPr>
        <w:t>Os anormais</w:t>
      </w:r>
      <w:r w:rsidRPr="00076C09">
        <w:rPr>
          <w:rFonts w:ascii="Times New Roman" w:hAnsi="Times New Roman"/>
          <w:sz w:val="24"/>
          <w:szCs w:val="24"/>
        </w:rPr>
        <w:t xml:space="preserve">: Curso no </w:t>
      </w:r>
      <w:proofErr w:type="spellStart"/>
      <w:r w:rsidRPr="00076C09">
        <w:rPr>
          <w:rFonts w:ascii="Times New Roman" w:hAnsi="Times New Roman"/>
          <w:sz w:val="24"/>
          <w:szCs w:val="24"/>
        </w:rPr>
        <w:t>Collège</w:t>
      </w:r>
      <w:proofErr w:type="spellEnd"/>
      <w:r w:rsidRPr="00076C09">
        <w:rPr>
          <w:rFonts w:ascii="Times New Roman" w:hAnsi="Times New Roman"/>
          <w:sz w:val="24"/>
          <w:szCs w:val="24"/>
        </w:rPr>
        <w:t xml:space="preserve"> de France (1974-1975). São Paulo: Martins Fontes, 2002.</w:t>
      </w:r>
    </w:p>
    <w:p w14:paraId="08607847" w14:textId="77777777" w:rsidR="00076C09" w:rsidRPr="00076C09" w:rsidRDefault="00076C09" w:rsidP="00076C09">
      <w:pPr>
        <w:spacing w:after="360" w:line="360" w:lineRule="auto"/>
        <w:jc w:val="both"/>
        <w:rPr>
          <w:rFonts w:ascii="Times New Roman" w:hAnsi="Times New Roman"/>
          <w:sz w:val="24"/>
          <w:szCs w:val="24"/>
        </w:rPr>
      </w:pPr>
      <w:r w:rsidRPr="00076C09">
        <w:rPr>
          <w:rFonts w:ascii="Times New Roman" w:hAnsi="Times New Roman"/>
          <w:sz w:val="24"/>
          <w:szCs w:val="24"/>
        </w:rPr>
        <w:t xml:space="preserve">_________. </w:t>
      </w:r>
      <w:r w:rsidRPr="00076C09">
        <w:rPr>
          <w:rFonts w:ascii="Times New Roman" w:hAnsi="Times New Roman"/>
          <w:i/>
          <w:sz w:val="24"/>
          <w:szCs w:val="24"/>
        </w:rPr>
        <w:t>As palavras e as coisas</w:t>
      </w:r>
      <w:r w:rsidRPr="00076C09">
        <w:rPr>
          <w:rFonts w:ascii="Times New Roman" w:hAnsi="Times New Roman"/>
          <w:sz w:val="24"/>
          <w:szCs w:val="24"/>
        </w:rPr>
        <w:t>. 9. ed. São Paulo: Martins Fontes, 2007.</w:t>
      </w:r>
    </w:p>
    <w:p w14:paraId="77F2DEB5" w14:textId="77777777" w:rsidR="00076C09" w:rsidRPr="00076C09" w:rsidRDefault="00076C09" w:rsidP="00076C09">
      <w:pPr>
        <w:autoSpaceDE w:val="0"/>
        <w:autoSpaceDN w:val="0"/>
        <w:adjustRightInd w:val="0"/>
        <w:spacing w:after="360" w:line="360" w:lineRule="auto"/>
        <w:jc w:val="both"/>
        <w:rPr>
          <w:rFonts w:ascii="Times New Roman" w:hAnsi="Times New Roman"/>
          <w:sz w:val="24"/>
          <w:szCs w:val="24"/>
        </w:rPr>
      </w:pPr>
      <w:r w:rsidRPr="00076C09">
        <w:rPr>
          <w:rFonts w:ascii="Times New Roman" w:hAnsi="Times New Roman"/>
          <w:sz w:val="24"/>
          <w:szCs w:val="24"/>
        </w:rPr>
        <w:t xml:space="preserve">_________. </w:t>
      </w:r>
      <w:r w:rsidRPr="00076C09">
        <w:rPr>
          <w:rFonts w:ascii="Times New Roman" w:hAnsi="Times New Roman"/>
          <w:i/>
          <w:sz w:val="24"/>
          <w:szCs w:val="24"/>
        </w:rPr>
        <w:t>A arqueologia do saber</w:t>
      </w:r>
      <w:r w:rsidRPr="00076C09">
        <w:rPr>
          <w:rFonts w:ascii="Times New Roman" w:hAnsi="Times New Roman"/>
          <w:sz w:val="24"/>
          <w:szCs w:val="24"/>
        </w:rPr>
        <w:t>. 7. ed. Rio de Janeiro: Forense Universitária, 2008a.</w:t>
      </w:r>
    </w:p>
    <w:p w14:paraId="3B56B852" w14:textId="77777777" w:rsidR="00076C09" w:rsidRPr="00076C09" w:rsidRDefault="00076C09" w:rsidP="00076C09">
      <w:pPr>
        <w:spacing w:after="360" w:line="360" w:lineRule="auto"/>
        <w:jc w:val="both"/>
        <w:rPr>
          <w:rFonts w:ascii="Times New Roman" w:hAnsi="Times New Roman"/>
          <w:sz w:val="24"/>
          <w:szCs w:val="24"/>
        </w:rPr>
      </w:pPr>
      <w:r w:rsidRPr="00076C09">
        <w:rPr>
          <w:rFonts w:ascii="Times New Roman" w:hAnsi="Times New Roman"/>
          <w:sz w:val="24"/>
          <w:szCs w:val="24"/>
        </w:rPr>
        <w:t xml:space="preserve">_________. </w:t>
      </w:r>
      <w:r w:rsidRPr="00076C09">
        <w:rPr>
          <w:rFonts w:ascii="Times New Roman" w:hAnsi="Times New Roman"/>
          <w:i/>
          <w:sz w:val="24"/>
          <w:szCs w:val="24"/>
        </w:rPr>
        <w:t xml:space="preserve">Nascimento da </w:t>
      </w:r>
      <w:proofErr w:type="spellStart"/>
      <w:r w:rsidRPr="00076C09">
        <w:rPr>
          <w:rFonts w:ascii="Times New Roman" w:hAnsi="Times New Roman"/>
          <w:i/>
          <w:sz w:val="24"/>
          <w:szCs w:val="24"/>
        </w:rPr>
        <w:t>biopolítica</w:t>
      </w:r>
      <w:proofErr w:type="spellEnd"/>
      <w:r w:rsidRPr="00076C09">
        <w:rPr>
          <w:rFonts w:ascii="Times New Roman" w:hAnsi="Times New Roman"/>
          <w:sz w:val="24"/>
          <w:szCs w:val="24"/>
        </w:rPr>
        <w:t xml:space="preserve">. Curso dado no </w:t>
      </w:r>
      <w:proofErr w:type="spellStart"/>
      <w:r w:rsidRPr="00076C09">
        <w:rPr>
          <w:rFonts w:ascii="Times New Roman" w:hAnsi="Times New Roman"/>
          <w:sz w:val="24"/>
          <w:szCs w:val="24"/>
        </w:rPr>
        <w:t>Collège</w:t>
      </w:r>
      <w:proofErr w:type="spellEnd"/>
      <w:r w:rsidRPr="00076C09">
        <w:rPr>
          <w:rFonts w:ascii="Times New Roman" w:hAnsi="Times New Roman"/>
          <w:sz w:val="24"/>
          <w:szCs w:val="24"/>
        </w:rPr>
        <w:t xml:space="preserve"> de France (1978-1979). São Paulo: Martins Fontes, 2008b. </w:t>
      </w:r>
    </w:p>
    <w:p w14:paraId="08E9F14B" w14:textId="77777777" w:rsidR="00076C09" w:rsidRPr="00076C09" w:rsidRDefault="00076C09" w:rsidP="00076C09">
      <w:pPr>
        <w:autoSpaceDE w:val="0"/>
        <w:autoSpaceDN w:val="0"/>
        <w:adjustRightInd w:val="0"/>
        <w:spacing w:after="360" w:line="360" w:lineRule="auto"/>
        <w:jc w:val="both"/>
        <w:rPr>
          <w:rFonts w:ascii="Times New Roman" w:hAnsi="Times New Roman"/>
          <w:sz w:val="24"/>
          <w:szCs w:val="24"/>
        </w:rPr>
      </w:pPr>
      <w:r w:rsidRPr="00076C09">
        <w:rPr>
          <w:rFonts w:ascii="Times New Roman" w:hAnsi="Times New Roman"/>
          <w:sz w:val="24"/>
          <w:szCs w:val="24"/>
        </w:rPr>
        <w:t xml:space="preserve">_________. </w:t>
      </w:r>
      <w:r w:rsidRPr="00076C09">
        <w:rPr>
          <w:rFonts w:ascii="Times New Roman" w:hAnsi="Times New Roman"/>
          <w:i/>
          <w:sz w:val="24"/>
          <w:szCs w:val="24"/>
        </w:rPr>
        <w:t>Microfísica do poder</w:t>
      </w:r>
      <w:r w:rsidRPr="00076C09">
        <w:rPr>
          <w:rFonts w:ascii="Times New Roman" w:hAnsi="Times New Roman"/>
          <w:sz w:val="24"/>
          <w:szCs w:val="24"/>
        </w:rPr>
        <w:t>. 27. reimpressão. Rio de Janeiro: Edições Graal, 2009.</w:t>
      </w:r>
    </w:p>
    <w:p w14:paraId="11DA7303" w14:textId="77777777" w:rsidR="00076C09" w:rsidRPr="00076C09" w:rsidRDefault="00076C09" w:rsidP="00076C09">
      <w:pPr>
        <w:spacing w:after="360" w:line="360" w:lineRule="auto"/>
        <w:jc w:val="both"/>
        <w:rPr>
          <w:rFonts w:ascii="Times New Roman" w:hAnsi="Times New Roman"/>
          <w:sz w:val="24"/>
          <w:szCs w:val="24"/>
        </w:rPr>
      </w:pPr>
      <w:r w:rsidRPr="00076C09">
        <w:rPr>
          <w:rFonts w:ascii="Times New Roman" w:hAnsi="Times New Roman"/>
          <w:sz w:val="24"/>
          <w:szCs w:val="24"/>
        </w:rPr>
        <w:lastRenderedPageBreak/>
        <w:t xml:space="preserve">GONDRA, José Gonçalves. </w:t>
      </w:r>
      <w:r w:rsidRPr="00076C09">
        <w:rPr>
          <w:rFonts w:ascii="Times New Roman" w:hAnsi="Times New Roman"/>
          <w:i/>
          <w:sz w:val="24"/>
          <w:szCs w:val="24"/>
        </w:rPr>
        <w:t>Artes de civilizar</w:t>
      </w:r>
      <w:r w:rsidRPr="00076C09">
        <w:rPr>
          <w:rFonts w:ascii="Times New Roman" w:hAnsi="Times New Roman"/>
          <w:sz w:val="24"/>
          <w:szCs w:val="24"/>
        </w:rPr>
        <w:t xml:space="preserve">: medicina, higiene e educação escolar na Corte Imperial. Rio de Janeiro: </w:t>
      </w:r>
      <w:proofErr w:type="spellStart"/>
      <w:r w:rsidRPr="00076C09">
        <w:rPr>
          <w:rFonts w:ascii="Times New Roman" w:hAnsi="Times New Roman"/>
          <w:sz w:val="24"/>
          <w:szCs w:val="24"/>
        </w:rPr>
        <w:t>EdUERJ</w:t>
      </w:r>
      <w:proofErr w:type="spellEnd"/>
      <w:r w:rsidRPr="00076C09">
        <w:rPr>
          <w:rFonts w:ascii="Times New Roman" w:hAnsi="Times New Roman"/>
          <w:sz w:val="24"/>
          <w:szCs w:val="24"/>
        </w:rPr>
        <w:t>, 2004.</w:t>
      </w:r>
    </w:p>
    <w:p w14:paraId="047AE660" w14:textId="77777777" w:rsidR="00076C09" w:rsidRPr="00076C09" w:rsidRDefault="00076C09" w:rsidP="00076C09">
      <w:pPr>
        <w:spacing w:after="360" w:line="360" w:lineRule="auto"/>
        <w:jc w:val="both"/>
        <w:rPr>
          <w:rFonts w:ascii="Times New Roman" w:hAnsi="Times New Roman"/>
          <w:sz w:val="24"/>
          <w:szCs w:val="24"/>
        </w:rPr>
      </w:pPr>
      <w:r w:rsidRPr="00076C09">
        <w:rPr>
          <w:rFonts w:ascii="Times New Roman" w:hAnsi="Times New Roman"/>
          <w:sz w:val="24"/>
          <w:szCs w:val="24"/>
          <w:lang w:val="fr-FR"/>
        </w:rPr>
        <w:t xml:space="preserve">GONDRA, José Gonçalves; SCHUELER, Alessandra. </w:t>
      </w:r>
      <w:r w:rsidRPr="00076C09">
        <w:rPr>
          <w:rFonts w:ascii="Times New Roman" w:hAnsi="Times New Roman"/>
          <w:i/>
          <w:sz w:val="24"/>
          <w:szCs w:val="24"/>
        </w:rPr>
        <w:t>Educação, poder e sociedade no Império brasileiro</w:t>
      </w:r>
      <w:r w:rsidRPr="00076C09">
        <w:rPr>
          <w:rFonts w:ascii="Times New Roman" w:hAnsi="Times New Roman"/>
          <w:sz w:val="24"/>
          <w:szCs w:val="24"/>
        </w:rPr>
        <w:t>. São Paulo: Cortez, 2008.</w:t>
      </w:r>
    </w:p>
    <w:p w14:paraId="79E4B1C2" w14:textId="77777777" w:rsidR="00076C09" w:rsidRPr="00076C09" w:rsidRDefault="00076C09" w:rsidP="00076C09">
      <w:pPr>
        <w:spacing w:after="360" w:line="360" w:lineRule="auto"/>
        <w:jc w:val="both"/>
        <w:rPr>
          <w:rFonts w:ascii="Times New Roman" w:hAnsi="Times New Roman"/>
          <w:sz w:val="24"/>
          <w:szCs w:val="24"/>
        </w:rPr>
      </w:pPr>
      <w:r w:rsidRPr="00076C09">
        <w:rPr>
          <w:rFonts w:ascii="Times New Roman" w:hAnsi="Times New Roman"/>
          <w:sz w:val="24"/>
          <w:szCs w:val="24"/>
        </w:rPr>
        <w:t xml:space="preserve">GOULD, </w:t>
      </w:r>
      <w:proofErr w:type="spellStart"/>
      <w:r w:rsidRPr="00076C09">
        <w:rPr>
          <w:rFonts w:ascii="Times New Roman" w:hAnsi="Times New Roman"/>
          <w:sz w:val="24"/>
          <w:szCs w:val="24"/>
        </w:rPr>
        <w:t>Sthephen</w:t>
      </w:r>
      <w:proofErr w:type="spellEnd"/>
      <w:r w:rsidRPr="00076C09">
        <w:rPr>
          <w:rFonts w:ascii="Times New Roman" w:hAnsi="Times New Roman"/>
          <w:sz w:val="24"/>
          <w:szCs w:val="24"/>
        </w:rPr>
        <w:t xml:space="preserve"> Jay. </w:t>
      </w:r>
      <w:r w:rsidRPr="00076C09">
        <w:rPr>
          <w:rFonts w:ascii="Times New Roman" w:hAnsi="Times New Roman"/>
          <w:i/>
          <w:sz w:val="24"/>
          <w:szCs w:val="24"/>
        </w:rPr>
        <w:t>A falsa medida do homem</w:t>
      </w:r>
      <w:r w:rsidRPr="00076C09">
        <w:rPr>
          <w:rFonts w:ascii="Times New Roman" w:hAnsi="Times New Roman"/>
          <w:sz w:val="24"/>
          <w:szCs w:val="24"/>
        </w:rPr>
        <w:t>. São Paulo: Companhia das Letras, 1999.</w:t>
      </w:r>
    </w:p>
    <w:p w14:paraId="55846B38" w14:textId="77777777" w:rsidR="00076C09" w:rsidRPr="00076C09" w:rsidRDefault="00076C09" w:rsidP="00076C09">
      <w:pPr>
        <w:spacing w:after="360" w:line="360" w:lineRule="auto"/>
        <w:jc w:val="both"/>
        <w:rPr>
          <w:rFonts w:ascii="Times New Roman" w:hAnsi="Times New Roman"/>
          <w:sz w:val="24"/>
          <w:szCs w:val="24"/>
        </w:rPr>
      </w:pPr>
      <w:r w:rsidRPr="00076C09">
        <w:rPr>
          <w:rFonts w:ascii="Times New Roman" w:hAnsi="Times New Roman"/>
          <w:sz w:val="24"/>
          <w:szCs w:val="24"/>
        </w:rPr>
        <w:t xml:space="preserve">OLÍVIA, Fabiana Aparecida. </w:t>
      </w:r>
      <w:proofErr w:type="spellStart"/>
      <w:r w:rsidRPr="00076C09">
        <w:rPr>
          <w:rFonts w:ascii="Times New Roman" w:hAnsi="Times New Roman"/>
          <w:bCs/>
          <w:i/>
          <w:sz w:val="24"/>
          <w:szCs w:val="24"/>
        </w:rPr>
        <w:t>Biopolítica</w:t>
      </w:r>
      <w:proofErr w:type="spellEnd"/>
      <w:r w:rsidRPr="00076C09">
        <w:rPr>
          <w:rFonts w:ascii="Times New Roman" w:hAnsi="Times New Roman"/>
          <w:bCs/>
          <w:i/>
          <w:sz w:val="24"/>
          <w:szCs w:val="24"/>
        </w:rPr>
        <w:t>, cidadania, educação e imprensa</w:t>
      </w:r>
      <w:r w:rsidRPr="00076C09">
        <w:rPr>
          <w:rFonts w:ascii="Times New Roman" w:hAnsi="Times New Roman"/>
          <w:bCs/>
          <w:sz w:val="24"/>
          <w:szCs w:val="24"/>
        </w:rPr>
        <w:t xml:space="preserve">: uma análise do </w:t>
      </w:r>
      <w:proofErr w:type="spellStart"/>
      <w:r w:rsidRPr="00076C09">
        <w:rPr>
          <w:rFonts w:ascii="Times New Roman" w:hAnsi="Times New Roman"/>
          <w:bCs/>
          <w:i/>
          <w:iCs/>
          <w:sz w:val="24"/>
          <w:szCs w:val="24"/>
        </w:rPr>
        <w:t>Codigo</w:t>
      </w:r>
      <w:proofErr w:type="spellEnd"/>
      <w:r w:rsidRPr="00076C09">
        <w:rPr>
          <w:rFonts w:ascii="Times New Roman" w:hAnsi="Times New Roman"/>
          <w:bCs/>
          <w:i/>
          <w:iCs/>
          <w:sz w:val="24"/>
          <w:szCs w:val="24"/>
        </w:rPr>
        <w:t xml:space="preserve"> de posturas </w:t>
      </w:r>
      <w:proofErr w:type="spellStart"/>
      <w:r w:rsidRPr="00076C09">
        <w:rPr>
          <w:rFonts w:ascii="Times New Roman" w:hAnsi="Times New Roman"/>
          <w:bCs/>
          <w:i/>
          <w:iCs/>
          <w:sz w:val="24"/>
          <w:szCs w:val="24"/>
        </w:rPr>
        <w:t>municipaes</w:t>
      </w:r>
      <w:proofErr w:type="spellEnd"/>
      <w:r w:rsidRPr="00076C09">
        <w:rPr>
          <w:rFonts w:ascii="Times New Roman" w:hAnsi="Times New Roman"/>
          <w:bCs/>
          <w:i/>
          <w:iCs/>
          <w:sz w:val="24"/>
          <w:szCs w:val="24"/>
        </w:rPr>
        <w:t xml:space="preserve"> de Oliveira – Minas Gerais </w:t>
      </w:r>
      <w:r w:rsidRPr="00076C09">
        <w:rPr>
          <w:rFonts w:ascii="Times New Roman" w:hAnsi="Times New Roman"/>
          <w:bCs/>
          <w:sz w:val="24"/>
          <w:szCs w:val="24"/>
        </w:rPr>
        <w:t>(1937).</w:t>
      </w:r>
      <w:r w:rsidRPr="00076C09">
        <w:rPr>
          <w:rFonts w:ascii="Times New Roman" w:hAnsi="Times New Roman"/>
          <w:sz w:val="24"/>
          <w:szCs w:val="24"/>
        </w:rPr>
        <w:t xml:space="preserve"> Dissertação (Mestrado em Educação) – Programa de Pós-Graduação em Educação da UFSJ, São João </w:t>
      </w:r>
      <w:proofErr w:type="spellStart"/>
      <w:r w:rsidRPr="00076C09">
        <w:rPr>
          <w:rFonts w:ascii="Times New Roman" w:hAnsi="Times New Roman"/>
          <w:sz w:val="24"/>
          <w:szCs w:val="24"/>
        </w:rPr>
        <w:t>del</w:t>
      </w:r>
      <w:proofErr w:type="spellEnd"/>
      <w:r w:rsidRPr="00076C09">
        <w:rPr>
          <w:rFonts w:ascii="Times New Roman" w:hAnsi="Times New Roman"/>
          <w:sz w:val="24"/>
          <w:szCs w:val="24"/>
        </w:rPr>
        <w:t>-Rei, 2015.</w:t>
      </w:r>
    </w:p>
    <w:p w14:paraId="5412140A" w14:textId="77777777" w:rsidR="00076C09" w:rsidRPr="00076C09" w:rsidRDefault="00076C09" w:rsidP="00076C09">
      <w:pPr>
        <w:spacing w:after="360" w:line="360" w:lineRule="auto"/>
        <w:jc w:val="both"/>
        <w:rPr>
          <w:rFonts w:ascii="Times New Roman" w:hAnsi="Times New Roman"/>
          <w:sz w:val="24"/>
          <w:szCs w:val="24"/>
        </w:rPr>
      </w:pPr>
      <w:r w:rsidRPr="00076C09">
        <w:rPr>
          <w:rFonts w:ascii="Times New Roman" w:hAnsi="Times New Roman"/>
          <w:sz w:val="24"/>
          <w:szCs w:val="24"/>
        </w:rPr>
        <w:t xml:space="preserve">PAIVA, Luciana Vilela. </w:t>
      </w:r>
      <w:r w:rsidRPr="00076C09">
        <w:rPr>
          <w:rFonts w:ascii="Times New Roman" w:hAnsi="Times New Roman"/>
          <w:i/>
          <w:iCs/>
          <w:sz w:val="24"/>
          <w:szCs w:val="24"/>
        </w:rPr>
        <w:t>A educação nas páginas no jornal O Correio (1926-1930)</w:t>
      </w:r>
      <w:r w:rsidRPr="00076C09">
        <w:rPr>
          <w:rFonts w:ascii="Times New Roman" w:hAnsi="Times New Roman"/>
          <w:sz w:val="24"/>
          <w:szCs w:val="24"/>
        </w:rPr>
        <w:t xml:space="preserve">. Dissertação (Mestrado em Educação) – Programa de Pós-Graduação em Educação da UFSJ, São João </w:t>
      </w:r>
      <w:proofErr w:type="spellStart"/>
      <w:r w:rsidRPr="00076C09">
        <w:rPr>
          <w:rFonts w:ascii="Times New Roman" w:hAnsi="Times New Roman"/>
          <w:sz w:val="24"/>
          <w:szCs w:val="24"/>
        </w:rPr>
        <w:t>del</w:t>
      </w:r>
      <w:proofErr w:type="spellEnd"/>
      <w:r w:rsidRPr="00076C09">
        <w:rPr>
          <w:rFonts w:ascii="Times New Roman" w:hAnsi="Times New Roman"/>
          <w:sz w:val="24"/>
          <w:szCs w:val="24"/>
        </w:rPr>
        <w:t>-Rei, 2014.</w:t>
      </w:r>
    </w:p>
    <w:p w14:paraId="5497B586" w14:textId="77777777" w:rsidR="00076C09" w:rsidRPr="00076C09" w:rsidRDefault="00076C09" w:rsidP="00076C09">
      <w:pPr>
        <w:spacing w:after="360" w:line="360" w:lineRule="auto"/>
        <w:jc w:val="both"/>
        <w:rPr>
          <w:rFonts w:ascii="Times New Roman" w:hAnsi="Times New Roman"/>
          <w:sz w:val="24"/>
          <w:szCs w:val="24"/>
        </w:rPr>
      </w:pPr>
      <w:r w:rsidRPr="00076C09">
        <w:rPr>
          <w:rFonts w:ascii="Times New Roman" w:hAnsi="Times New Roman"/>
          <w:sz w:val="24"/>
          <w:szCs w:val="24"/>
        </w:rPr>
        <w:t xml:space="preserve">REVEL, Jacques. Os usos da civilidade. </w:t>
      </w:r>
      <w:r w:rsidRPr="00076C09">
        <w:rPr>
          <w:rFonts w:ascii="Times New Roman" w:hAnsi="Times New Roman"/>
          <w:sz w:val="24"/>
          <w:szCs w:val="24"/>
          <w:lang w:val="en-US"/>
        </w:rPr>
        <w:t xml:space="preserve">In: ARIÈS, Philippe; CHARTIER, Roger. </w:t>
      </w:r>
      <w:r w:rsidRPr="00076C09">
        <w:rPr>
          <w:rFonts w:ascii="Times New Roman" w:hAnsi="Times New Roman"/>
          <w:i/>
          <w:sz w:val="24"/>
          <w:szCs w:val="24"/>
        </w:rPr>
        <w:t>História da vida privada 3</w:t>
      </w:r>
      <w:r w:rsidRPr="00076C09">
        <w:rPr>
          <w:rFonts w:ascii="Times New Roman" w:hAnsi="Times New Roman"/>
          <w:sz w:val="24"/>
          <w:szCs w:val="24"/>
        </w:rPr>
        <w:t>: da Renascença ao Século das Luzes. 9. reimpressão. São Paulo: Companhia das Letras, 2002.</w:t>
      </w:r>
    </w:p>
    <w:p w14:paraId="5B1BB31D" w14:textId="77777777" w:rsidR="00076C09" w:rsidRPr="00076C09" w:rsidRDefault="00076C09" w:rsidP="00076C09">
      <w:pPr>
        <w:spacing w:after="360" w:line="360" w:lineRule="auto"/>
        <w:jc w:val="both"/>
        <w:rPr>
          <w:rFonts w:ascii="Times New Roman" w:hAnsi="Times New Roman"/>
          <w:sz w:val="24"/>
          <w:szCs w:val="24"/>
        </w:rPr>
      </w:pPr>
      <w:r w:rsidRPr="00076C09">
        <w:rPr>
          <w:rFonts w:ascii="Times New Roman" w:hAnsi="Times New Roman"/>
          <w:sz w:val="24"/>
          <w:szCs w:val="24"/>
        </w:rPr>
        <w:t xml:space="preserve">SENNET, Richard. </w:t>
      </w:r>
      <w:r w:rsidRPr="00076C09">
        <w:rPr>
          <w:rFonts w:ascii="Times New Roman" w:hAnsi="Times New Roman"/>
          <w:i/>
          <w:sz w:val="24"/>
          <w:szCs w:val="24"/>
        </w:rPr>
        <w:t>Carne e pedra</w:t>
      </w:r>
      <w:r w:rsidRPr="00076C09">
        <w:rPr>
          <w:rFonts w:ascii="Times New Roman" w:hAnsi="Times New Roman"/>
          <w:sz w:val="24"/>
          <w:szCs w:val="24"/>
        </w:rPr>
        <w:t xml:space="preserve">: o corpo e a cidade na civilização ocidental. Rio de Janeiro: </w:t>
      </w:r>
      <w:proofErr w:type="spellStart"/>
      <w:r w:rsidRPr="00076C09">
        <w:rPr>
          <w:rFonts w:ascii="Times New Roman" w:hAnsi="Times New Roman"/>
          <w:sz w:val="24"/>
          <w:szCs w:val="24"/>
        </w:rPr>
        <w:t>BestBolso</w:t>
      </w:r>
      <w:proofErr w:type="spellEnd"/>
      <w:r w:rsidRPr="00076C09">
        <w:rPr>
          <w:rFonts w:ascii="Times New Roman" w:hAnsi="Times New Roman"/>
          <w:sz w:val="24"/>
          <w:szCs w:val="24"/>
        </w:rPr>
        <w:t>, 2008.</w:t>
      </w:r>
    </w:p>
    <w:p w14:paraId="50B34CC8" w14:textId="77777777" w:rsidR="00E422E5" w:rsidRPr="007F7706" w:rsidRDefault="00E422E5" w:rsidP="00076C09">
      <w:pPr>
        <w:spacing w:after="0" w:line="360" w:lineRule="auto"/>
        <w:ind w:firstLine="709"/>
        <w:jc w:val="both"/>
        <w:rPr>
          <w:rFonts w:ascii="Times New Roman" w:hAnsi="Times New Roman"/>
          <w:b/>
          <w:sz w:val="24"/>
          <w:szCs w:val="24"/>
        </w:rPr>
      </w:pPr>
    </w:p>
    <w:sectPr w:rsidR="00E422E5" w:rsidRPr="007F7706" w:rsidSect="00280425">
      <w:headerReference w:type="default" r:id="rId9"/>
      <w:footerReference w:type="default" r:id="rId10"/>
      <w:pgSz w:w="11906" w:h="16838"/>
      <w:pgMar w:top="1417" w:right="1701" w:bottom="1417" w:left="1701" w:header="426" w:footer="708" w:gutter="0"/>
      <w:pgNumType w:start="7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2043A6" w14:textId="77777777" w:rsidR="00695E22" w:rsidRDefault="00695E22" w:rsidP="008163BC">
      <w:pPr>
        <w:spacing w:after="0" w:line="240" w:lineRule="auto"/>
      </w:pPr>
      <w:r>
        <w:separator/>
      </w:r>
    </w:p>
  </w:endnote>
  <w:endnote w:type="continuationSeparator" w:id="0">
    <w:p w14:paraId="4834755D" w14:textId="77777777" w:rsidR="00695E22" w:rsidRDefault="00695E22" w:rsidP="008163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7888314"/>
      <w:docPartObj>
        <w:docPartGallery w:val="Page Numbers (Bottom of Page)"/>
        <w:docPartUnique/>
      </w:docPartObj>
    </w:sdtPr>
    <w:sdtEndPr/>
    <w:sdtContent>
      <w:p w14:paraId="1398F397" w14:textId="77777777" w:rsidR="00787556" w:rsidRDefault="00787556">
        <w:pPr>
          <w:pStyle w:val="Footer"/>
          <w:jc w:val="right"/>
        </w:pPr>
        <w:r>
          <w:t xml:space="preserve">| </w:t>
        </w:r>
        <w:r>
          <w:fldChar w:fldCharType="begin"/>
        </w:r>
        <w:r>
          <w:instrText>PAGE   \* MERGEFORMAT</w:instrText>
        </w:r>
        <w:r>
          <w:fldChar w:fldCharType="separate"/>
        </w:r>
        <w:r w:rsidR="00B15038">
          <w:rPr>
            <w:noProof/>
          </w:rPr>
          <w:t>70</w:t>
        </w:r>
        <w:r>
          <w:fldChar w:fldCharType="end"/>
        </w:r>
      </w:p>
    </w:sdtContent>
  </w:sdt>
  <w:p w14:paraId="6DC5A8F7" w14:textId="77777777" w:rsidR="00787556" w:rsidRDefault="0078755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95680E" w14:textId="77777777" w:rsidR="00695E22" w:rsidRDefault="00695E22" w:rsidP="008163BC">
      <w:pPr>
        <w:spacing w:after="0" w:line="240" w:lineRule="auto"/>
      </w:pPr>
      <w:r>
        <w:separator/>
      </w:r>
    </w:p>
  </w:footnote>
  <w:footnote w:type="continuationSeparator" w:id="0">
    <w:p w14:paraId="0ED57EFF" w14:textId="77777777" w:rsidR="00695E22" w:rsidRDefault="00695E22" w:rsidP="008163BC">
      <w:pPr>
        <w:spacing w:after="0" w:line="240" w:lineRule="auto"/>
      </w:pPr>
      <w:r>
        <w:continuationSeparator/>
      </w:r>
    </w:p>
  </w:footnote>
  <w:footnote w:id="1">
    <w:p w14:paraId="37B3B12A" w14:textId="77777777" w:rsidR="00076C09" w:rsidRPr="004D46BB" w:rsidRDefault="00076C09" w:rsidP="00076C09">
      <w:pPr>
        <w:pStyle w:val="FootnoteText"/>
        <w:spacing w:after="120"/>
        <w:ind w:left="227" w:hanging="227"/>
        <w:jc w:val="both"/>
      </w:pPr>
      <w:r w:rsidRPr="004D46BB">
        <w:rPr>
          <w:rStyle w:val="FootnoteReference"/>
        </w:rPr>
        <w:footnoteRef/>
      </w:r>
      <w:r w:rsidRPr="004D46BB">
        <w:t xml:space="preserve"> Professor do Departamento de Ciências da Educação da Universidade Federal de São João </w:t>
      </w:r>
      <w:proofErr w:type="spellStart"/>
      <w:r w:rsidRPr="004D46BB">
        <w:t>del</w:t>
      </w:r>
      <w:proofErr w:type="spellEnd"/>
      <w:r w:rsidRPr="004D46BB">
        <w:t>-Rei.</w:t>
      </w:r>
    </w:p>
  </w:footnote>
  <w:footnote w:id="2">
    <w:p w14:paraId="03A06F41" w14:textId="77777777" w:rsidR="00076C09" w:rsidRPr="004D46BB" w:rsidRDefault="00076C09" w:rsidP="00076C09">
      <w:pPr>
        <w:pStyle w:val="FootnoteText"/>
        <w:spacing w:after="120"/>
        <w:ind w:left="227" w:hanging="227"/>
        <w:jc w:val="both"/>
      </w:pPr>
      <w:r w:rsidRPr="004D46BB">
        <w:rPr>
          <w:rStyle w:val="FootnoteReference"/>
        </w:rPr>
        <w:footnoteRef/>
      </w:r>
      <w:r w:rsidRPr="004D46BB">
        <w:t xml:space="preserve"> </w:t>
      </w:r>
      <w:r w:rsidRPr="004D46BB">
        <w:t xml:space="preserve">Sobre o </w:t>
      </w:r>
      <w:r w:rsidRPr="004D46BB">
        <w:rPr>
          <w:i/>
        </w:rPr>
        <w:t>heteróclito</w:t>
      </w:r>
      <w:r w:rsidRPr="004D46BB">
        <w:t>, diz Foucault: “importa entender esta palavra no sentido mais próximo de sua etimologia: as coisas aí são “deitadas”, “colocadas”, “dispostas” em lugares a tal ponto diferentes, que é impossível encontrar-lhes um espaço de acolhimento, definir por baixo de umas e outras um lugar-comum” (FOUCAULT, 2007b, p. XII-XIII). Resumindo: a ordem e a classificação são sempre instituídas, elaboradas e provocadas.</w:t>
      </w:r>
    </w:p>
  </w:footnote>
  <w:footnote w:id="3">
    <w:p w14:paraId="3CD8BFAB" w14:textId="77777777" w:rsidR="00076C09" w:rsidRPr="004D46BB" w:rsidRDefault="00076C09" w:rsidP="00076C09">
      <w:pPr>
        <w:pStyle w:val="FootnoteText"/>
        <w:spacing w:after="120"/>
        <w:ind w:left="227" w:hanging="227"/>
        <w:jc w:val="both"/>
      </w:pPr>
      <w:r w:rsidRPr="004D46BB">
        <w:rPr>
          <w:rStyle w:val="FootnoteReference"/>
        </w:rPr>
        <w:footnoteRef/>
      </w:r>
      <w:r w:rsidRPr="004D46BB">
        <w:t xml:space="preserve"> Não nos esqueçamos da configuração política da República brasileira que</w:t>
      </w:r>
      <w:r>
        <w:t>,</w:t>
      </w:r>
      <w:r w:rsidRPr="004D46BB">
        <w:t xml:space="preserve"> sob o lema “Ordem e progresso” presente vistosamente em sua bandeira, teve a colaboração de intelectuais seguidores dos preceitos positivistas de Augusto Comte. Uma das preocupações dessa configuração política era a consecução de um modelo para a sociedade numa relação entre ciência (social) como previsão</w:t>
      </w:r>
      <w:r>
        <w:t>,</w:t>
      </w:r>
      <w:r w:rsidRPr="004D46BB">
        <w:t xml:space="preserve"> e a previsão para a ação (social) nes</w:t>
      </w:r>
      <w:r>
        <w:t>s</w:t>
      </w:r>
      <w:r w:rsidRPr="004D46BB">
        <w:t>e caso, especificamente</w:t>
      </w:r>
      <w:r>
        <w:t>,</w:t>
      </w:r>
      <w:r w:rsidRPr="004D46BB">
        <w:t xml:space="preserve"> se trata da ação educativa.</w:t>
      </w:r>
    </w:p>
  </w:footnote>
  <w:footnote w:id="4">
    <w:p w14:paraId="623DDFA8" w14:textId="77777777" w:rsidR="00076C09" w:rsidRPr="004D46BB" w:rsidRDefault="00076C09" w:rsidP="00076C09">
      <w:pPr>
        <w:pStyle w:val="FootnoteText"/>
        <w:spacing w:after="120"/>
        <w:ind w:left="227" w:hanging="227"/>
        <w:jc w:val="both"/>
      </w:pPr>
      <w:r w:rsidRPr="004D46BB">
        <w:rPr>
          <w:rStyle w:val="FootnoteReference"/>
        </w:rPr>
        <w:footnoteRef/>
      </w:r>
      <w:r w:rsidRPr="004D46BB">
        <w:t xml:space="preserve"> Só como um exemplo do que se está tratando aqui: encontram-se na legislação mineira do início do século XX duas referências importantes que incorporam o saber médico ao ju</w:t>
      </w:r>
      <w:r>
        <w:t>d</w:t>
      </w:r>
      <w:r w:rsidRPr="004D46BB">
        <w:t>icial. No Decreto</w:t>
      </w:r>
      <w:r>
        <w:t xml:space="preserve"> nº</w:t>
      </w:r>
      <w:r w:rsidRPr="004D46BB">
        <w:t xml:space="preserve"> 7.970-A</w:t>
      </w:r>
      <w:r>
        <w:t>,</w:t>
      </w:r>
      <w:r w:rsidRPr="004D46BB">
        <w:t xml:space="preserve"> de 15 de outubro de 1927, publicado pela Secretaria de Interior e que aprova o regulamento do ensino primário, encontram-se dois títulos relevantes para o tema desta pesquisa: </w:t>
      </w:r>
      <w:r w:rsidRPr="004D46BB">
        <w:rPr>
          <w:i/>
        </w:rPr>
        <w:t xml:space="preserve">Da </w:t>
      </w:r>
      <w:proofErr w:type="spellStart"/>
      <w:r w:rsidRPr="004D46BB">
        <w:rPr>
          <w:i/>
        </w:rPr>
        <w:t>Hygiene</w:t>
      </w:r>
      <w:proofErr w:type="spellEnd"/>
      <w:r w:rsidRPr="004D46BB">
        <w:rPr>
          <w:i/>
        </w:rPr>
        <w:t xml:space="preserve"> escolar e da </w:t>
      </w:r>
      <w:proofErr w:type="spellStart"/>
      <w:r w:rsidRPr="004D46BB">
        <w:rPr>
          <w:i/>
        </w:rPr>
        <w:t>Assistencia</w:t>
      </w:r>
      <w:proofErr w:type="spellEnd"/>
      <w:r w:rsidRPr="004D46BB">
        <w:rPr>
          <w:i/>
        </w:rPr>
        <w:t xml:space="preserve"> Medica e Dentaria </w:t>
      </w:r>
      <w:r w:rsidRPr="004D46BB">
        <w:t xml:space="preserve">e </w:t>
      </w:r>
      <w:r w:rsidRPr="004D46BB">
        <w:rPr>
          <w:i/>
        </w:rPr>
        <w:t xml:space="preserve">Do </w:t>
      </w:r>
      <w:proofErr w:type="spellStart"/>
      <w:r w:rsidRPr="004D46BB">
        <w:rPr>
          <w:i/>
        </w:rPr>
        <w:t>apparelhamento</w:t>
      </w:r>
      <w:proofErr w:type="spellEnd"/>
      <w:r w:rsidRPr="004D46BB">
        <w:t xml:space="preserve"> (que trata de prédios escolares, mobiliário e materiais escolares).</w:t>
      </w:r>
    </w:p>
  </w:footnote>
  <w:footnote w:id="5">
    <w:p w14:paraId="7ABA1661" w14:textId="77777777" w:rsidR="00076C09" w:rsidRPr="004D46BB" w:rsidRDefault="00076C09" w:rsidP="00076C09">
      <w:pPr>
        <w:pStyle w:val="FootnoteText"/>
        <w:spacing w:after="120"/>
        <w:ind w:left="227" w:hanging="227"/>
        <w:jc w:val="both"/>
      </w:pPr>
      <w:r w:rsidRPr="004D46BB">
        <w:rPr>
          <w:rStyle w:val="FootnoteReference"/>
        </w:rPr>
        <w:footnoteRef/>
      </w:r>
      <w:r w:rsidRPr="004D46BB">
        <w:t xml:space="preserve"> </w:t>
      </w:r>
      <w:r w:rsidRPr="004D46BB">
        <w:t>Muitos deles são cientistas e católicos, e quando não são católicos, seguem o positivismo, considerada uma religião da humanidade. A Igreja Positivista do Brasil foi fundada em 1881 por Miguel de Lemos (um filósofo) e tem sua sede, Templo da Humanidade, em funcionamento até hoje, situada no bairro da Glória, na cidade</w:t>
      </w:r>
      <w:r>
        <w:t xml:space="preserve"> do</w:t>
      </w:r>
      <w:r w:rsidRPr="004D46BB">
        <w:t xml:space="preserve"> Rio de Janeiro.</w:t>
      </w:r>
    </w:p>
  </w:footnote>
  <w:footnote w:id="6">
    <w:p w14:paraId="4FF98C16" w14:textId="77777777" w:rsidR="00076C09" w:rsidRPr="004D46BB" w:rsidRDefault="00076C09" w:rsidP="00076C09">
      <w:pPr>
        <w:pStyle w:val="FootnoteText"/>
        <w:spacing w:after="120"/>
        <w:ind w:left="227" w:hanging="227"/>
        <w:jc w:val="both"/>
      </w:pPr>
      <w:r w:rsidRPr="004D46BB">
        <w:rPr>
          <w:rStyle w:val="FootnoteReference"/>
        </w:rPr>
        <w:footnoteRef/>
      </w:r>
      <w:r w:rsidRPr="004D46BB">
        <w:t xml:space="preserve"> Entrevista concedida em junho de 1976 a Alexandre Fontana e P. </w:t>
      </w:r>
      <w:r w:rsidRPr="004D46BB">
        <w:t xml:space="preserve">Pasquino intitulada </w:t>
      </w:r>
      <w:proofErr w:type="spellStart"/>
      <w:r w:rsidRPr="004D46BB">
        <w:rPr>
          <w:i/>
        </w:rPr>
        <w:t>Vérité</w:t>
      </w:r>
      <w:proofErr w:type="spellEnd"/>
      <w:r w:rsidRPr="004D46BB">
        <w:rPr>
          <w:i/>
        </w:rPr>
        <w:t xml:space="preserve"> et </w:t>
      </w:r>
      <w:proofErr w:type="spellStart"/>
      <w:r w:rsidRPr="004D46BB">
        <w:rPr>
          <w:i/>
        </w:rPr>
        <w:t>Pouvoir</w:t>
      </w:r>
      <w:proofErr w:type="spellEnd"/>
      <w:r w:rsidRPr="004D46BB">
        <w:t xml:space="preserve"> e editada em diversas publicações e traduções, sendo publicada no Brasil numa organização realizada por Roberto Machado com o título </w:t>
      </w:r>
      <w:r w:rsidRPr="004D46BB">
        <w:rPr>
          <w:i/>
        </w:rPr>
        <w:t>Microfísica do poder</w:t>
      </w:r>
      <w:r w:rsidRPr="004D46BB">
        <w:t xml:space="preserve"> (FOUCAULT, 1979).</w:t>
      </w:r>
    </w:p>
  </w:footnote>
  <w:footnote w:id="7">
    <w:p w14:paraId="338003C8" w14:textId="77777777" w:rsidR="00076C09" w:rsidRPr="004D46BB" w:rsidRDefault="00076C09" w:rsidP="00076C09">
      <w:pPr>
        <w:pStyle w:val="FootnoteText"/>
        <w:spacing w:after="120"/>
        <w:ind w:left="227" w:hanging="227"/>
        <w:jc w:val="both"/>
      </w:pPr>
      <w:r w:rsidRPr="004D46BB">
        <w:rPr>
          <w:rStyle w:val="FootnoteReference"/>
        </w:rPr>
        <w:footnoteRef/>
      </w:r>
      <w:r w:rsidRPr="004D46BB">
        <w:t xml:space="preserve"> Há também em </w:t>
      </w:r>
      <w:r w:rsidRPr="004D46BB">
        <w:rPr>
          <w:i/>
        </w:rPr>
        <w:t>Os anormais</w:t>
      </w:r>
      <w:r w:rsidRPr="004D46BB">
        <w:t xml:space="preserve"> (2002) uma instigante reflexão sobre os investimentos econômicos que o poder realiza para melhorar sua eficácia e diminuir seus custos, dentro de aspectos legais, ou seja, aceitos dentro das normas e procedimentos da organização da sociedade.</w:t>
      </w:r>
    </w:p>
  </w:footnote>
  <w:footnote w:id="8">
    <w:p w14:paraId="511DD6B0" w14:textId="77777777" w:rsidR="00076C09" w:rsidRPr="004D46BB" w:rsidRDefault="00076C09" w:rsidP="00076C09">
      <w:pPr>
        <w:tabs>
          <w:tab w:val="left" w:pos="0"/>
        </w:tabs>
        <w:spacing w:after="120" w:line="240" w:lineRule="auto"/>
        <w:ind w:left="227" w:hanging="227"/>
        <w:rPr>
          <w:sz w:val="20"/>
          <w:szCs w:val="20"/>
        </w:rPr>
      </w:pPr>
      <w:r w:rsidRPr="004D46BB">
        <w:rPr>
          <w:rStyle w:val="FootnoteReference"/>
          <w:sz w:val="20"/>
          <w:szCs w:val="20"/>
        </w:rPr>
        <w:footnoteRef/>
      </w:r>
      <w:r w:rsidRPr="004D46BB">
        <w:rPr>
          <w:sz w:val="20"/>
          <w:szCs w:val="20"/>
        </w:rPr>
        <w:t xml:space="preserve"> O </w:t>
      </w:r>
      <w:proofErr w:type="spellStart"/>
      <w:r w:rsidRPr="004D46BB">
        <w:rPr>
          <w:sz w:val="20"/>
          <w:szCs w:val="20"/>
        </w:rPr>
        <w:t>higienismo</w:t>
      </w:r>
      <w:proofErr w:type="spellEnd"/>
      <w:r w:rsidRPr="004D46BB">
        <w:rPr>
          <w:sz w:val="20"/>
          <w:szCs w:val="20"/>
        </w:rPr>
        <w:t xml:space="preserve"> é um conceito há muitos séculos presente na cultura ocidental, mas estender essa preocupação aos gregos de Esparta, por exemplo, é uma empreitada arriscada pela dificuldade de estabelecer vínculos significativos com as implicações desse conceito no contexto do século XIX.</w:t>
      </w:r>
    </w:p>
  </w:footnote>
  <w:footnote w:id="9">
    <w:p w14:paraId="00C1FF46" w14:textId="77777777" w:rsidR="00076C09" w:rsidRPr="004D46BB" w:rsidRDefault="00076C09" w:rsidP="00076C09">
      <w:pPr>
        <w:pStyle w:val="FootnoteText"/>
        <w:spacing w:after="120"/>
        <w:ind w:left="227" w:hanging="227"/>
        <w:jc w:val="both"/>
      </w:pPr>
      <w:r w:rsidRPr="004D46BB">
        <w:rPr>
          <w:rStyle w:val="FootnoteReference"/>
        </w:rPr>
        <w:footnoteRef/>
      </w:r>
      <w:r w:rsidRPr="004D46BB">
        <w:t xml:space="preserve"> O termo utilizado por Foucault refere-se ao tratamento dos anormais, isto é, todos os que não se enquadram nas normas, abrangendo tanto os anormais físicos, quanto os morais. No caso do tratamento aos anormais por exclusão</w:t>
      </w:r>
      <w:r>
        <w:t>,</w:t>
      </w:r>
      <w:r w:rsidRPr="004D46BB">
        <w:t xml:space="preserve"> ele situa historicamente o que era feito na Europa com os leprosos, impedidos de entrar nas cidades, ou seja, eram simplesmente excluídos do convívio social.</w:t>
      </w:r>
    </w:p>
  </w:footnote>
  <w:footnote w:id="10">
    <w:p w14:paraId="2D6AD209" w14:textId="77777777" w:rsidR="00076C09" w:rsidRPr="004D46BB" w:rsidRDefault="00076C09" w:rsidP="00076C09">
      <w:pPr>
        <w:pStyle w:val="FootnoteText"/>
        <w:spacing w:after="120"/>
        <w:ind w:left="227" w:hanging="227"/>
        <w:jc w:val="both"/>
      </w:pPr>
      <w:r w:rsidRPr="004D46BB">
        <w:rPr>
          <w:rStyle w:val="FootnoteReference"/>
        </w:rPr>
        <w:footnoteRef/>
      </w:r>
      <w:r w:rsidRPr="004D46BB">
        <w:t xml:space="preserve"> Em uma das teses defendidas na I Conferência Nacional de Educação realizada em Curitiba</w:t>
      </w:r>
      <w:r>
        <w:t>/</w:t>
      </w:r>
      <w:r w:rsidRPr="004D46BB">
        <w:t>PR em 1927, o educador paranaense Nicolau Meira de Angelis se refere aos problemas causados pela sífilis: perturbação no crescimento, deformidades ósseas, raquitismo da prole [...] imbecilidade, neurastenia, epilepsia, demência [...] monstruosidade e envelhecimento precoce. E termina citando o médico Renato Kehl: fealdade = sífilis.</w:t>
      </w:r>
    </w:p>
  </w:footnote>
  <w:footnote w:id="11">
    <w:p w14:paraId="7608602F" w14:textId="77777777" w:rsidR="00076C09" w:rsidRPr="004D46BB" w:rsidRDefault="00076C09" w:rsidP="00076C09">
      <w:pPr>
        <w:spacing w:after="120" w:line="240" w:lineRule="auto"/>
        <w:ind w:left="227" w:hanging="227"/>
        <w:rPr>
          <w:sz w:val="20"/>
          <w:szCs w:val="20"/>
        </w:rPr>
      </w:pPr>
      <w:r w:rsidRPr="004D46BB">
        <w:rPr>
          <w:rStyle w:val="FootnoteReference"/>
          <w:sz w:val="20"/>
          <w:szCs w:val="20"/>
        </w:rPr>
        <w:footnoteRef/>
      </w:r>
      <w:r w:rsidRPr="004D46BB">
        <w:rPr>
          <w:sz w:val="20"/>
          <w:szCs w:val="20"/>
        </w:rPr>
        <w:t xml:space="preserve"> [...] “essas formações discursivas colocam problemas de demarcação bem mais difíceis que o livro ou a obra” (FOUCAULT, 2007, p. 79).</w:t>
      </w:r>
    </w:p>
  </w:footnote>
  <w:footnote w:id="12">
    <w:p w14:paraId="3A5EEA44" w14:textId="77777777" w:rsidR="00076C09" w:rsidRPr="004D46BB" w:rsidRDefault="00076C09" w:rsidP="00076C09">
      <w:pPr>
        <w:spacing w:after="120" w:line="240" w:lineRule="auto"/>
        <w:ind w:left="227" w:hanging="227"/>
        <w:rPr>
          <w:sz w:val="20"/>
          <w:szCs w:val="20"/>
        </w:rPr>
      </w:pPr>
      <w:r w:rsidRPr="004D46BB">
        <w:rPr>
          <w:rStyle w:val="FootnoteReference"/>
          <w:sz w:val="20"/>
          <w:szCs w:val="20"/>
        </w:rPr>
        <w:footnoteRef/>
      </w:r>
      <w:r w:rsidRPr="004D46BB">
        <w:rPr>
          <w:sz w:val="20"/>
          <w:szCs w:val="20"/>
        </w:rPr>
        <w:t xml:space="preserve"> Ao comentar este texto – considerado uma obra menor do filósofo holandês –, Revel afirma que a originalidade do trabalho não está na matéria exposta – uma coletânea de preceitos de moral da literatura clássica, mas na sua exposição a um público mais ampla do que o considerado educável</w:t>
      </w:r>
      <w:r>
        <w:rPr>
          <w:sz w:val="20"/>
          <w:szCs w:val="20"/>
        </w:rPr>
        <w:t>:</w:t>
      </w:r>
      <w:r w:rsidRPr="004D46BB">
        <w:rPr>
          <w:sz w:val="20"/>
          <w:szCs w:val="20"/>
        </w:rPr>
        <w:t xml:space="preserve"> crianças e jovens da nobreza. “Assim a novidade de </w:t>
      </w:r>
      <w:r w:rsidRPr="004D46BB">
        <w:rPr>
          <w:i/>
          <w:sz w:val="20"/>
          <w:szCs w:val="20"/>
        </w:rPr>
        <w:t xml:space="preserve">A civilidade pueril </w:t>
      </w:r>
      <w:r w:rsidRPr="004D46BB">
        <w:rPr>
          <w:sz w:val="20"/>
          <w:szCs w:val="20"/>
        </w:rPr>
        <w:t>é, antes, de ordem antropológica e moral, na medida em que Erasmo pretende basear o vínculo social na aprendizagem generalizada de um código comum de comportamentos” (REVEL, 2002, p. 174).</w:t>
      </w:r>
    </w:p>
  </w:footnote>
  <w:footnote w:id="13">
    <w:p w14:paraId="664E063F" w14:textId="77777777" w:rsidR="00076C09" w:rsidRPr="004D46BB" w:rsidRDefault="00076C09" w:rsidP="00076C09">
      <w:pPr>
        <w:pStyle w:val="FootnoteText"/>
        <w:spacing w:after="120"/>
        <w:ind w:left="227" w:hanging="227"/>
        <w:jc w:val="both"/>
      </w:pPr>
      <w:r w:rsidRPr="004D46BB">
        <w:rPr>
          <w:rStyle w:val="FootnoteReference"/>
        </w:rPr>
        <w:footnoteRef/>
      </w:r>
      <w:r w:rsidRPr="004D46BB">
        <w:t xml:space="preserve"> Erasmo foi ordenado sacerdote da Ordem dos Agostinianos em 1492 (ERASMO, 2008, p.15).</w:t>
      </w:r>
    </w:p>
  </w:footnote>
  <w:footnote w:id="14">
    <w:p w14:paraId="5A528D08" w14:textId="77777777" w:rsidR="00076C09" w:rsidRPr="004D46BB" w:rsidRDefault="00076C09" w:rsidP="00076C09">
      <w:pPr>
        <w:pStyle w:val="FootnoteText"/>
        <w:spacing w:after="120"/>
        <w:ind w:left="227" w:hanging="227"/>
        <w:jc w:val="both"/>
      </w:pPr>
      <w:r w:rsidRPr="004D46BB">
        <w:rPr>
          <w:rStyle w:val="FootnoteReference"/>
        </w:rPr>
        <w:footnoteRef/>
      </w:r>
      <w:r w:rsidRPr="004D46BB">
        <w:t xml:space="preserve"> “</w:t>
      </w:r>
      <w:proofErr w:type="spellStart"/>
      <w:r w:rsidRPr="004D46BB">
        <w:t>Galton</w:t>
      </w:r>
      <w:proofErr w:type="spellEnd"/>
      <w:r w:rsidRPr="004D46BB">
        <w:t>, sem maior êxito, havia experimentado uma série de medições que correspondiam principalmente a registros fisiológicos e tempos de reação, que não constituíam verdadeiras medidas de inteligência” (GOULD, 1999, p. 151).</w:t>
      </w:r>
    </w:p>
  </w:footnote>
  <w:footnote w:id="15">
    <w:p w14:paraId="2BF94632" w14:textId="77777777" w:rsidR="00076C09" w:rsidRPr="004D46BB" w:rsidRDefault="00076C09" w:rsidP="00076C09">
      <w:pPr>
        <w:pStyle w:val="FootnoteText"/>
        <w:spacing w:after="120"/>
        <w:ind w:left="227" w:hanging="227"/>
        <w:jc w:val="both"/>
      </w:pPr>
      <w:r w:rsidRPr="004D46BB">
        <w:rPr>
          <w:rStyle w:val="FootnoteReference"/>
        </w:rPr>
        <w:footnoteRef/>
      </w:r>
      <w:r w:rsidRPr="004D46BB">
        <w:t xml:space="preserve"> Após ter abandonado a craniometria, Binet “decidiu inventar uma série de tarefas que permitiriam avaliar de maneira mais direta os diferentes aspectos dessa capacidade” (GOULD, 1999, p. 151).</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324326" w14:textId="77777777" w:rsidR="008163BC" w:rsidRPr="00787556" w:rsidRDefault="008163BC" w:rsidP="008163BC">
    <w:pPr>
      <w:pStyle w:val="Header"/>
      <w:rPr>
        <w:color w:val="0D0D0D" w:themeColor="text1" w:themeTint="F2"/>
      </w:rPr>
    </w:pPr>
    <w:r w:rsidRPr="00787556">
      <w:rPr>
        <w:color w:val="0D0D0D" w:themeColor="text1" w:themeTint="F2"/>
      </w:rPr>
      <w:t xml:space="preserve">             </w:t>
    </w:r>
    <w:r w:rsidRPr="00787556">
      <w:rPr>
        <w:color w:val="0D0D0D" w:themeColor="text1" w:themeTint="F2"/>
      </w:rPr>
      <w:t>Tempos Gerais - Revista de Ciências Sociais e História - UFSJ</w:t>
    </w:r>
  </w:p>
  <w:p w14:paraId="7146CC03" w14:textId="77777777" w:rsidR="00AC5909" w:rsidRPr="00787556" w:rsidRDefault="008163BC" w:rsidP="008163BC">
    <w:pPr>
      <w:pStyle w:val="Header"/>
      <w:rPr>
        <w:color w:val="0D0D0D" w:themeColor="text1" w:themeTint="F2"/>
      </w:rPr>
    </w:pPr>
    <w:r w:rsidRPr="00787556">
      <w:rPr>
        <w:color w:val="0D0D0D" w:themeColor="text1" w:themeTint="F2"/>
      </w:rPr>
      <w:t xml:space="preserve">                               Número #</w:t>
    </w:r>
    <w:r w:rsidR="009D3398">
      <w:rPr>
        <w:color w:val="0D0D0D" w:themeColor="text1" w:themeTint="F2"/>
      </w:rPr>
      <w:t>7</w:t>
    </w:r>
    <w:r w:rsidRPr="00787556">
      <w:rPr>
        <w:color w:val="0D0D0D" w:themeColor="text1" w:themeTint="F2"/>
      </w:rPr>
      <w:t xml:space="preserve"> - 201</w:t>
    </w:r>
    <w:r w:rsidR="00F13BE2" w:rsidRPr="00787556">
      <w:rPr>
        <w:color w:val="0D0D0D" w:themeColor="text1" w:themeTint="F2"/>
      </w:rPr>
      <w:t>5</w:t>
    </w:r>
    <w:r w:rsidRPr="00787556">
      <w:rPr>
        <w:color w:val="0D0D0D" w:themeColor="text1" w:themeTint="F2"/>
      </w:rPr>
      <w:t xml:space="preserve"> - ISSN: 15168727</w:t>
    </w:r>
  </w:p>
  <w:p w14:paraId="440D8CAB" w14:textId="77777777" w:rsidR="008163BC" w:rsidRPr="00AC5909" w:rsidRDefault="00AC5909" w:rsidP="008163BC">
    <w:pPr>
      <w:pStyle w:val="Header"/>
    </w:pPr>
    <w:r w:rsidRPr="00AC5909">
      <w:t>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isplayBackgroundShape/>
  <w:proofState w:spelling="clean" w:grammar="clean"/>
  <w:defaultTabStop w:val="708"/>
  <w:hyphenationZone w:val="425"/>
  <w:characterSpacingControl w:val="doNotCompress"/>
  <w:hdrShapeDefaults>
    <o:shapedefaults v:ext="edit" spidmax="2050">
      <o:colormenu v:ext="edit" fill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3BC"/>
    <w:rsid w:val="00076C09"/>
    <w:rsid w:val="000A0A68"/>
    <w:rsid w:val="001372ED"/>
    <w:rsid w:val="00180383"/>
    <w:rsid w:val="001B6E03"/>
    <w:rsid w:val="00280425"/>
    <w:rsid w:val="00294F74"/>
    <w:rsid w:val="003302AE"/>
    <w:rsid w:val="004457EE"/>
    <w:rsid w:val="006121F8"/>
    <w:rsid w:val="00695E22"/>
    <w:rsid w:val="00787556"/>
    <w:rsid w:val="007F7706"/>
    <w:rsid w:val="008163BC"/>
    <w:rsid w:val="008E061E"/>
    <w:rsid w:val="008F1E5E"/>
    <w:rsid w:val="00933E05"/>
    <w:rsid w:val="009D3398"/>
    <w:rsid w:val="00AC5909"/>
    <w:rsid w:val="00B148F1"/>
    <w:rsid w:val="00B15038"/>
    <w:rsid w:val="00CE0EB8"/>
    <w:rsid w:val="00E054E1"/>
    <w:rsid w:val="00E422E5"/>
    <w:rsid w:val="00EB22D1"/>
    <w:rsid w:val="00F13BE2"/>
    <w:rsid w:val="00FE5CA2"/>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enu v:ext="edit" fillcolor="none"/>
    </o:shapedefaults>
    <o:shapelayout v:ext="edit">
      <o:idmap v:ext="edit" data="1"/>
    </o:shapelayout>
  </w:shapeDefaults>
  <w:decimalSymbol w:val=","/>
  <w:listSeparator w:val=";"/>
  <w14:docId w14:val="74BFB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3BE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63BC"/>
    <w:pPr>
      <w:tabs>
        <w:tab w:val="center" w:pos="4252"/>
        <w:tab w:val="right" w:pos="8504"/>
      </w:tabs>
      <w:spacing w:after="0" w:line="240" w:lineRule="auto"/>
    </w:pPr>
  </w:style>
  <w:style w:type="character" w:customStyle="1" w:styleId="HeaderChar">
    <w:name w:val="Header Char"/>
    <w:basedOn w:val="DefaultParagraphFont"/>
    <w:link w:val="Header"/>
    <w:uiPriority w:val="99"/>
    <w:rsid w:val="008163BC"/>
  </w:style>
  <w:style w:type="paragraph" w:styleId="Footer">
    <w:name w:val="footer"/>
    <w:basedOn w:val="Normal"/>
    <w:link w:val="FooterChar"/>
    <w:uiPriority w:val="99"/>
    <w:unhideWhenUsed/>
    <w:rsid w:val="008163BC"/>
    <w:pPr>
      <w:tabs>
        <w:tab w:val="center" w:pos="4252"/>
        <w:tab w:val="right" w:pos="8504"/>
      </w:tabs>
      <w:spacing w:after="0" w:line="240" w:lineRule="auto"/>
    </w:pPr>
  </w:style>
  <w:style w:type="character" w:customStyle="1" w:styleId="FooterChar">
    <w:name w:val="Footer Char"/>
    <w:basedOn w:val="DefaultParagraphFont"/>
    <w:link w:val="Footer"/>
    <w:uiPriority w:val="99"/>
    <w:rsid w:val="008163BC"/>
  </w:style>
  <w:style w:type="paragraph" w:styleId="BalloonText">
    <w:name w:val="Balloon Text"/>
    <w:basedOn w:val="Normal"/>
    <w:link w:val="BalloonTextChar"/>
    <w:uiPriority w:val="99"/>
    <w:semiHidden/>
    <w:unhideWhenUsed/>
    <w:rsid w:val="008163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63BC"/>
    <w:rPr>
      <w:rFonts w:ascii="Tahoma" w:hAnsi="Tahoma" w:cs="Tahoma"/>
      <w:sz w:val="16"/>
      <w:szCs w:val="16"/>
    </w:rPr>
  </w:style>
  <w:style w:type="paragraph" w:styleId="FootnoteText">
    <w:name w:val="footnote text"/>
    <w:basedOn w:val="Normal"/>
    <w:link w:val="FootnoteTextChar"/>
    <w:semiHidden/>
    <w:unhideWhenUsed/>
    <w:rsid w:val="00F13BE2"/>
    <w:pPr>
      <w:spacing w:after="0" w:line="240" w:lineRule="auto"/>
    </w:pPr>
    <w:rPr>
      <w:sz w:val="20"/>
      <w:szCs w:val="20"/>
    </w:rPr>
  </w:style>
  <w:style w:type="character" w:customStyle="1" w:styleId="FootnoteTextChar">
    <w:name w:val="Footnote Text Char"/>
    <w:basedOn w:val="DefaultParagraphFont"/>
    <w:link w:val="FootnoteText"/>
    <w:semiHidden/>
    <w:rsid w:val="00F13BE2"/>
    <w:rPr>
      <w:rFonts w:ascii="Calibri" w:eastAsia="Calibri" w:hAnsi="Calibri" w:cs="Times New Roman"/>
      <w:sz w:val="20"/>
      <w:szCs w:val="20"/>
    </w:rPr>
  </w:style>
  <w:style w:type="character" w:styleId="FootnoteReference">
    <w:name w:val="footnote reference"/>
    <w:semiHidden/>
    <w:unhideWhenUsed/>
    <w:rsid w:val="00F13BE2"/>
    <w:rPr>
      <w:vertAlign w:val="superscript"/>
    </w:rPr>
  </w:style>
  <w:style w:type="character" w:customStyle="1" w:styleId="CitaoUSPChar">
    <w:name w:val="Citação USP Char"/>
    <w:link w:val="CitaoUSP"/>
    <w:locked/>
    <w:rsid w:val="00F13BE2"/>
    <w:rPr>
      <w:rFonts w:ascii="Times New Roman" w:hAnsi="Times New Roman" w:cs="Times New Roman"/>
    </w:rPr>
  </w:style>
  <w:style w:type="paragraph" w:customStyle="1" w:styleId="CitaoUSP">
    <w:name w:val="Citação USP"/>
    <w:basedOn w:val="Normal"/>
    <w:link w:val="CitaoUSPChar"/>
    <w:qFormat/>
    <w:rsid w:val="00F13BE2"/>
    <w:pPr>
      <w:spacing w:before="240"/>
      <w:ind w:left="2268"/>
      <w:jc w:val="both"/>
    </w:pPr>
    <w:rPr>
      <w:rFonts w:ascii="Times New Roman" w:eastAsiaTheme="minorHAnsi" w:hAnsi="Times New Roman"/>
    </w:rPr>
  </w:style>
  <w:style w:type="character" w:styleId="CommentReference">
    <w:name w:val="annotation reference"/>
    <w:uiPriority w:val="99"/>
    <w:semiHidden/>
    <w:unhideWhenUsed/>
    <w:rsid w:val="007F7706"/>
    <w:rPr>
      <w:sz w:val="16"/>
      <w:szCs w:val="16"/>
    </w:rPr>
  </w:style>
  <w:style w:type="paragraph" w:styleId="CommentText">
    <w:name w:val="annotation text"/>
    <w:basedOn w:val="Normal"/>
    <w:link w:val="CommentTextChar"/>
    <w:uiPriority w:val="99"/>
    <w:semiHidden/>
    <w:unhideWhenUsed/>
    <w:rsid w:val="007F7706"/>
    <w:rPr>
      <w:sz w:val="20"/>
      <w:szCs w:val="20"/>
    </w:rPr>
  </w:style>
  <w:style w:type="character" w:customStyle="1" w:styleId="CommentTextChar">
    <w:name w:val="Comment Text Char"/>
    <w:basedOn w:val="DefaultParagraphFont"/>
    <w:link w:val="CommentText"/>
    <w:uiPriority w:val="99"/>
    <w:semiHidden/>
    <w:rsid w:val="007F7706"/>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7F7706"/>
    <w:rPr>
      <w:b/>
      <w:bCs/>
    </w:rPr>
  </w:style>
  <w:style w:type="character" w:customStyle="1" w:styleId="CommentSubjectChar">
    <w:name w:val="Comment Subject Char"/>
    <w:basedOn w:val="CommentTextChar"/>
    <w:link w:val="CommentSubject"/>
    <w:uiPriority w:val="99"/>
    <w:semiHidden/>
    <w:rsid w:val="007F7706"/>
    <w:rPr>
      <w:rFonts w:ascii="Calibri" w:eastAsia="Calibri" w:hAnsi="Calibri" w:cs="Times New Roman"/>
      <w:b/>
      <w:bCs/>
      <w:sz w:val="20"/>
      <w:szCs w:val="20"/>
    </w:rPr>
  </w:style>
  <w:style w:type="paragraph" w:customStyle="1" w:styleId="Nota">
    <w:name w:val="Nota"/>
    <w:basedOn w:val="FootnoteText"/>
    <w:qFormat/>
    <w:rsid w:val="00FE5CA2"/>
    <w:pPr>
      <w:jc w:val="both"/>
    </w:pPr>
    <w:rPr>
      <w:rFonts w:ascii="Times New Roman" w:eastAsia="Times New Roman" w:hAnsi="Times New Roman"/>
      <w:lang w:eastAsia="pt-BR"/>
    </w:rPr>
  </w:style>
  <w:style w:type="paragraph" w:styleId="Revision">
    <w:name w:val="Revision"/>
    <w:hidden/>
    <w:uiPriority w:val="99"/>
    <w:semiHidden/>
    <w:rsid w:val="00E422E5"/>
    <w:pPr>
      <w:spacing w:after="0" w:line="240" w:lineRule="auto"/>
    </w:pPr>
    <w:rPr>
      <w:rFonts w:ascii="Calibri" w:eastAsia="Calibri" w:hAnsi="Calibri" w:cs="Times New Roman"/>
    </w:rPr>
  </w:style>
  <w:style w:type="paragraph" w:styleId="NormalWeb">
    <w:name w:val="Normal (Web)"/>
    <w:basedOn w:val="Normal"/>
    <w:uiPriority w:val="99"/>
    <w:unhideWhenUsed/>
    <w:rsid w:val="00076C09"/>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Default">
    <w:name w:val="Default"/>
    <w:rsid w:val="00076C09"/>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3BE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63BC"/>
    <w:pPr>
      <w:tabs>
        <w:tab w:val="center" w:pos="4252"/>
        <w:tab w:val="right" w:pos="8504"/>
      </w:tabs>
      <w:spacing w:after="0" w:line="240" w:lineRule="auto"/>
    </w:pPr>
  </w:style>
  <w:style w:type="character" w:customStyle="1" w:styleId="HeaderChar">
    <w:name w:val="Header Char"/>
    <w:basedOn w:val="DefaultParagraphFont"/>
    <w:link w:val="Header"/>
    <w:uiPriority w:val="99"/>
    <w:rsid w:val="008163BC"/>
  </w:style>
  <w:style w:type="paragraph" w:styleId="Footer">
    <w:name w:val="footer"/>
    <w:basedOn w:val="Normal"/>
    <w:link w:val="FooterChar"/>
    <w:uiPriority w:val="99"/>
    <w:unhideWhenUsed/>
    <w:rsid w:val="008163BC"/>
    <w:pPr>
      <w:tabs>
        <w:tab w:val="center" w:pos="4252"/>
        <w:tab w:val="right" w:pos="8504"/>
      </w:tabs>
      <w:spacing w:after="0" w:line="240" w:lineRule="auto"/>
    </w:pPr>
  </w:style>
  <w:style w:type="character" w:customStyle="1" w:styleId="FooterChar">
    <w:name w:val="Footer Char"/>
    <w:basedOn w:val="DefaultParagraphFont"/>
    <w:link w:val="Footer"/>
    <w:uiPriority w:val="99"/>
    <w:rsid w:val="008163BC"/>
  </w:style>
  <w:style w:type="paragraph" w:styleId="BalloonText">
    <w:name w:val="Balloon Text"/>
    <w:basedOn w:val="Normal"/>
    <w:link w:val="BalloonTextChar"/>
    <w:uiPriority w:val="99"/>
    <w:semiHidden/>
    <w:unhideWhenUsed/>
    <w:rsid w:val="008163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63BC"/>
    <w:rPr>
      <w:rFonts w:ascii="Tahoma" w:hAnsi="Tahoma" w:cs="Tahoma"/>
      <w:sz w:val="16"/>
      <w:szCs w:val="16"/>
    </w:rPr>
  </w:style>
  <w:style w:type="paragraph" w:styleId="FootnoteText">
    <w:name w:val="footnote text"/>
    <w:basedOn w:val="Normal"/>
    <w:link w:val="FootnoteTextChar"/>
    <w:semiHidden/>
    <w:unhideWhenUsed/>
    <w:rsid w:val="00F13BE2"/>
    <w:pPr>
      <w:spacing w:after="0" w:line="240" w:lineRule="auto"/>
    </w:pPr>
    <w:rPr>
      <w:sz w:val="20"/>
      <w:szCs w:val="20"/>
    </w:rPr>
  </w:style>
  <w:style w:type="character" w:customStyle="1" w:styleId="FootnoteTextChar">
    <w:name w:val="Footnote Text Char"/>
    <w:basedOn w:val="DefaultParagraphFont"/>
    <w:link w:val="FootnoteText"/>
    <w:semiHidden/>
    <w:rsid w:val="00F13BE2"/>
    <w:rPr>
      <w:rFonts w:ascii="Calibri" w:eastAsia="Calibri" w:hAnsi="Calibri" w:cs="Times New Roman"/>
      <w:sz w:val="20"/>
      <w:szCs w:val="20"/>
    </w:rPr>
  </w:style>
  <w:style w:type="character" w:styleId="FootnoteReference">
    <w:name w:val="footnote reference"/>
    <w:semiHidden/>
    <w:unhideWhenUsed/>
    <w:rsid w:val="00F13BE2"/>
    <w:rPr>
      <w:vertAlign w:val="superscript"/>
    </w:rPr>
  </w:style>
  <w:style w:type="character" w:customStyle="1" w:styleId="CitaoUSPChar">
    <w:name w:val="Citação USP Char"/>
    <w:link w:val="CitaoUSP"/>
    <w:locked/>
    <w:rsid w:val="00F13BE2"/>
    <w:rPr>
      <w:rFonts w:ascii="Times New Roman" w:hAnsi="Times New Roman" w:cs="Times New Roman"/>
    </w:rPr>
  </w:style>
  <w:style w:type="paragraph" w:customStyle="1" w:styleId="CitaoUSP">
    <w:name w:val="Citação USP"/>
    <w:basedOn w:val="Normal"/>
    <w:link w:val="CitaoUSPChar"/>
    <w:qFormat/>
    <w:rsid w:val="00F13BE2"/>
    <w:pPr>
      <w:spacing w:before="240"/>
      <w:ind w:left="2268"/>
      <w:jc w:val="both"/>
    </w:pPr>
    <w:rPr>
      <w:rFonts w:ascii="Times New Roman" w:eastAsiaTheme="minorHAnsi" w:hAnsi="Times New Roman"/>
    </w:rPr>
  </w:style>
  <w:style w:type="character" w:styleId="CommentReference">
    <w:name w:val="annotation reference"/>
    <w:uiPriority w:val="99"/>
    <w:semiHidden/>
    <w:unhideWhenUsed/>
    <w:rsid w:val="007F7706"/>
    <w:rPr>
      <w:sz w:val="16"/>
      <w:szCs w:val="16"/>
    </w:rPr>
  </w:style>
  <w:style w:type="paragraph" w:styleId="CommentText">
    <w:name w:val="annotation text"/>
    <w:basedOn w:val="Normal"/>
    <w:link w:val="CommentTextChar"/>
    <w:uiPriority w:val="99"/>
    <w:semiHidden/>
    <w:unhideWhenUsed/>
    <w:rsid w:val="007F7706"/>
    <w:rPr>
      <w:sz w:val="20"/>
      <w:szCs w:val="20"/>
    </w:rPr>
  </w:style>
  <w:style w:type="character" w:customStyle="1" w:styleId="CommentTextChar">
    <w:name w:val="Comment Text Char"/>
    <w:basedOn w:val="DefaultParagraphFont"/>
    <w:link w:val="CommentText"/>
    <w:uiPriority w:val="99"/>
    <w:semiHidden/>
    <w:rsid w:val="007F7706"/>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7F7706"/>
    <w:rPr>
      <w:b/>
      <w:bCs/>
    </w:rPr>
  </w:style>
  <w:style w:type="character" w:customStyle="1" w:styleId="CommentSubjectChar">
    <w:name w:val="Comment Subject Char"/>
    <w:basedOn w:val="CommentTextChar"/>
    <w:link w:val="CommentSubject"/>
    <w:uiPriority w:val="99"/>
    <w:semiHidden/>
    <w:rsid w:val="007F7706"/>
    <w:rPr>
      <w:rFonts w:ascii="Calibri" w:eastAsia="Calibri" w:hAnsi="Calibri" w:cs="Times New Roman"/>
      <w:b/>
      <w:bCs/>
      <w:sz w:val="20"/>
      <w:szCs w:val="20"/>
    </w:rPr>
  </w:style>
  <w:style w:type="paragraph" w:customStyle="1" w:styleId="Nota">
    <w:name w:val="Nota"/>
    <w:basedOn w:val="FootnoteText"/>
    <w:qFormat/>
    <w:rsid w:val="00FE5CA2"/>
    <w:pPr>
      <w:jc w:val="both"/>
    </w:pPr>
    <w:rPr>
      <w:rFonts w:ascii="Times New Roman" w:eastAsia="Times New Roman" w:hAnsi="Times New Roman"/>
      <w:lang w:eastAsia="pt-BR"/>
    </w:rPr>
  </w:style>
  <w:style w:type="paragraph" w:styleId="Revision">
    <w:name w:val="Revision"/>
    <w:hidden/>
    <w:uiPriority w:val="99"/>
    <w:semiHidden/>
    <w:rsid w:val="00E422E5"/>
    <w:pPr>
      <w:spacing w:after="0" w:line="240" w:lineRule="auto"/>
    </w:pPr>
    <w:rPr>
      <w:rFonts w:ascii="Calibri" w:eastAsia="Calibri" w:hAnsi="Calibri" w:cs="Times New Roman"/>
    </w:rPr>
  </w:style>
  <w:style w:type="paragraph" w:styleId="NormalWeb">
    <w:name w:val="Normal (Web)"/>
    <w:basedOn w:val="Normal"/>
    <w:uiPriority w:val="99"/>
    <w:unhideWhenUsed/>
    <w:rsid w:val="00076C09"/>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Default">
    <w:name w:val="Default"/>
    <w:rsid w:val="00076C09"/>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7708862">
      <w:bodyDiv w:val="1"/>
      <w:marLeft w:val="0"/>
      <w:marRight w:val="0"/>
      <w:marTop w:val="0"/>
      <w:marBottom w:val="0"/>
      <w:divBdr>
        <w:top w:val="none" w:sz="0" w:space="0" w:color="auto"/>
        <w:left w:val="none" w:sz="0" w:space="0" w:color="auto"/>
        <w:bottom w:val="none" w:sz="0" w:space="0" w:color="auto"/>
        <w:right w:val="none" w:sz="0" w:space="0" w:color="auto"/>
      </w:divBdr>
    </w:div>
    <w:div w:id="890965409">
      <w:bodyDiv w:val="1"/>
      <w:marLeft w:val="0"/>
      <w:marRight w:val="0"/>
      <w:marTop w:val="0"/>
      <w:marBottom w:val="0"/>
      <w:divBdr>
        <w:top w:val="none" w:sz="0" w:space="0" w:color="auto"/>
        <w:left w:val="none" w:sz="0" w:space="0" w:color="auto"/>
        <w:bottom w:val="none" w:sz="0" w:space="0" w:color="auto"/>
        <w:right w:val="none" w:sz="0" w:space="0" w:color="auto"/>
      </w:divBdr>
    </w:div>
    <w:div w:id="1237013119">
      <w:bodyDiv w:val="1"/>
      <w:marLeft w:val="0"/>
      <w:marRight w:val="0"/>
      <w:marTop w:val="0"/>
      <w:marBottom w:val="0"/>
      <w:divBdr>
        <w:top w:val="none" w:sz="0" w:space="0" w:color="auto"/>
        <w:left w:val="none" w:sz="0" w:space="0" w:color="auto"/>
        <w:bottom w:val="none" w:sz="0" w:space="0" w:color="auto"/>
        <w:right w:val="none" w:sz="0" w:space="0" w:color="auto"/>
      </w:divBdr>
    </w:div>
    <w:div w:id="1430469792">
      <w:bodyDiv w:val="1"/>
      <w:marLeft w:val="0"/>
      <w:marRight w:val="0"/>
      <w:marTop w:val="0"/>
      <w:marBottom w:val="0"/>
      <w:divBdr>
        <w:top w:val="none" w:sz="0" w:space="0" w:color="auto"/>
        <w:left w:val="none" w:sz="0" w:space="0" w:color="auto"/>
        <w:bottom w:val="none" w:sz="0" w:space="0" w:color="auto"/>
        <w:right w:val="none" w:sz="0" w:space="0" w:color="auto"/>
      </w:divBdr>
    </w:div>
    <w:div w:id="1671712718">
      <w:bodyDiv w:val="1"/>
      <w:marLeft w:val="0"/>
      <w:marRight w:val="0"/>
      <w:marTop w:val="0"/>
      <w:marBottom w:val="0"/>
      <w:divBdr>
        <w:top w:val="none" w:sz="0" w:space="0" w:color="auto"/>
        <w:left w:val="none" w:sz="0" w:space="0" w:color="auto"/>
        <w:bottom w:val="none" w:sz="0" w:space="0" w:color="auto"/>
        <w:right w:val="none" w:sz="0" w:space="0" w:color="auto"/>
      </w:divBdr>
    </w:div>
    <w:div w:id="2049379331">
      <w:bodyDiv w:val="1"/>
      <w:marLeft w:val="0"/>
      <w:marRight w:val="0"/>
      <w:marTop w:val="0"/>
      <w:marBottom w:val="0"/>
      <w:divBdr>
        <w:top w:val="none" w:sz="0" w:space="0" w:color="auto"/>
        <w:left w:val="none" w:sz="0" w:space="0" w:color="auto"/>
        <w:bottom w:val="none" w:sz="0" w:space="0" w:color="auto"/>
        <w:right w:val="none" w:sz="0" w:space="0" w:color="auto"/>
      </w:divBdr>
    </w:div>
    <w:div w:id="2116363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image" Target="media/image1.jpeg"/><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1540D6-073E-4844-8E00-643134309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18</Pages>
  <Words>5907</Words>
  <Characters>33673</Characters>
  <Application>Microsoft Macintosh Word</Application>
  <DocSecurity>0</DocSecurity>
  <Lines>280</Lines>
  <Paragraphs>79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39501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Michel Montandon de Oliveira</cp:lastModifiedBy>
  <cp:revision>10</cp:revision>
  <dcterms:created xsi:type="dcterms:W3CDTF">2015-09-29T18:29:00Z</dcterms:created>
  <dcterms:modified xsi:type="dcterms:W3CDTF">2015-10-01T17:29:00Z</dcterms:modified>
</cp:coreProperties>
</file>